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/>
          <w:lang w:val="en-US" w:eastAsia="zh-CN"/>
        </w:rPr>
      </w:pPr>
      <w:bookmarkStart w:id="0" w:name="_Toc8158"/>
      <w:r>
        <w:rPr>
          <w:rFonts w:hint="eastAsia"/>
        </w:rPr>
        <w:t>广弘控股业财一体化项目</w:t>
      </w:r>
      <w:r>
        <w:rPr>
          <w:rFonts w:hint="eastAsia"/>
          <w:lang w:val="en-US" w:eastAsia="zh-CN"/>
        </w:rPr>
        <w:t>招标公告</w:t>
      </w:r>
      <w:bookmarkEnd w:id="0"/>
    </w:p>
    <w:p>
      <w:pPr>
        <w:pStyle w:val="6"/>
        <w:snapToGrid w:val="0"/>
        <w:spacing w:line="360" w:lineRule="auto"/>
        <w:ind w:firstLine="420" w:firstLineChars="200"/>
        <w:rPr>
          <w:rFonts w:cs="Tahoma"/>
          <w:sz w:val="21"/>
          <w:szCs w:val="21"/>
        </w:rPr>
      </w:pPr>
      <w:r>
        <w:rPr>
          <w:rFonts w:hint="eastAsia" w:cs="Arial"/>
          <w:sz w:val="21"/>
          <w:szCs w:val="21"/>
        </w:rPr>
        <w:t>广州群生招标代理有限公司</w:t>
      </w:r>
      <w:r>
        <w:rPr>
          <w:rFonts w:cs="Tahoma"/>
          <w:sz w:val="21"/>
          <w:szCs w:val="21"/>
        </w:rPr>
        <w:t>（以下简称</w:t>
      </w:r>
      <w:r>
        <w:rPr>
          <w:rFonts w:hint="eastAsia" w:cs="Tahoma"/>
          <w:sz w:val="21"/>
          <w:szCs w:val="21"/>
        </w:rPr>
        <w:t>“招标代理机构”</w:t>
      </w:r>
      <w:r>
        <w:rPr>
          <w:rFonts w:cs="Tahoma"/>
          <w:sz w:val="21"/>
          <w:szCs w:val="21"/>
        </w:rPr>
        <w:t>）受</w:t>
      </w:r>
      <w:r>
        <w:rPr>
          <w:rFonts w:hint="eastAsia" w:cs="Tahoma"/>
          <w:sz w:val="21"/>
          <w:szCs w:val="21"/>
        </w:rPr>
        <w:t>招标人</w:t>
      </w:r>
      <w:r>
        <w:rPr>
          <w:rFonts w:cs="Tahoma"/>
          <w:sz w:val="21"/>
          <w:szCs w:val="21"/>
        </w:rPr>
        <w:t>的委托，</w:t>
      </w:r>
      <w:r>
        <w:rPr>
          <w:rFonts w:cs="Tahoma"/>
          <w:kern w:val="28"/>
          <w:sz w:val="21"/>
          <w:szCs w:val="21"/>
        </w:rPr>
        <w:t>就</w:t>
      </w:r>
      <w:r>
        <w:rPr>
          <w:rFonts w:hint="eastAsia" w:cs="Tahoma"/>
          <w:sz w:val="21"/>
          <w:szCs w:val="21"/>
        </w:rPr>
        <w:t>以下招标项目</w:t>
      </w:r>
      <w:r>
        <w:rPr>
          <w:rFonts w:cs="Arial"/>
          <w:sz w:val="21"/>
          <w:szCs w:val="21"/>
        </w:rPr>
        <w:t>进行</w:t>
      </w:r>
      <w:r>
        <w:rPr>
          <w:rFonts w:hint="eastAsia" w:cs="Arial"/>
          <w:sz w:val="21"/>
          <w:szCs w:val="21"/>
        </w:rPr>
        <w:t>国内公开</w:t>
      </w:r>
      <w:r>
        <w:rPr>
          <w:rFonts w:hint="eastAsia" w:cs="Arial"/>
          <w:bCs/>
          <w:sz w:val="21"/>
          <w:szCs w:val="21"/>
        </w:rPr>
        <w:t>招标</w:t>
      </w:r>
      <w:r>
        <w:rPr>
          <w:rFonts w:hint="eastAsia" w:cs="Arial"/>
          <w:sz w:val="21"/>
          <w:szCs w:val="21"/>
        </w:rPr>
        <w:t>，</w:t>
      </w:r>
      <w:r>
        <w:rPr>
          <w:rFonts w:hint="eastAsia"/>
          <w:sz w:val="21"/>
          <w:szCs w:val="21"/>
        </w:rPr>
        <w:t>欢迎合格的投标人参加投标</w:t>
      </w:r>
      <w:r>
        <w:rPr>
          <w:sz w:val="21"/>
          <w:szCs w:val="21"/>
        </w:rPr>
        <w:t>。</w:t>
      </w:r>
      <w:r>
        <w:rPr>
          <w:rFonts w:cs="Tahoma"/>
          <w:sz w:val="21"/>
          <w:szCs w:val="21"/>
        </w:rPr>
        <w:t>有关事项</w:t>
      </w:r>
      <w:r>
        <w:rPr>
          <w:rFonts w:hint="eastAsia" w:cs="Tahoma"/>
          <w:sz w:val="21"/>
          <w:szCs w:val="21"/>
        </w:rPr>
        <w:t>公告</w:t>
      </w:r>
      <w:r>
        <w:rPr>
          <w:rFonts w:cs="Tahoma"/>
          <w:sz w:val="21"/>
          <w:szCs w:val="21"/>
        </w:rPr>
        <w:t>如下：</w:t>
      </w:r>
    </w:p>
    <w:p>
      <w:pPr>
        <w:pStyle w:val="6"/>
        <w:snapToGrid w:val="0"/>
        <w:spacing w:line="360" w:lineRule="auto"/>
        <w:ind w:firstLine="0"/>
        <w:rPr>
          <w:rFonts w:hint="eastAsia" w:cs="Tahoma"/>
          <w:b/>
          <w:bCs/>
          <w:sz w:val="21"/>
          <w:szCs w:val="21"/>
        </w:rPr>
      </w:pPr>
      <w:r>
        <w:rPr>
          <w:rFonts w:hint="eastAsia" w:cs="Tahoma"/>
          <w:b/>
          <w:bCs/>
          <w:sz w:val="21"/>
          <w:szCs w:val="21"/>
        </w:rPr>
        <w:t>一、项目简要说明</w:t>
      </w:r>
    </w:p>
    <w:p>
      <w:pPr>
        <w:spacing w:line="360" w:lineRule="auto"/>
        <w:ind w:firstLine="420" w:firstLineChars="200"/>
        <w:rPr>
          <w:rFonts w:hint="eastAsia" w:ascii="宋体" w:hAnsi="宋体" w:cs="Tahoma"/>
          <w:color w:val="auto"/>
          <w:szCs w:val="21"/>
        </w:rPr>
      </w:pPr>
      <w:r>
        <w:rPr>
          <w:rFonts w:hint="eastAsia" w:ascii="宋体" w:hAnsi="宋体" w:cs="Tahoma"/>
          <w:color w:val="auto"/>
          <w:szCs w:val="21"/>
        </w:rPr>
        <w:t>1、</w:t>
      </w:r>
      <w:r>
        <w:rPr>
          <w:rFonts w:ascii="宋体" w:hAnsi="宋体" w:cs="Tahoma"/>
          <w:color w:val="auto"/>
          <w:szCs w:val="21"/>
        </w:rPr>
        <w:t>项目编号：</w:t>
      </w:r>
    </w:p>
    <w:p>
      <w:pPr>
        <w:spacing w:line="360" w:lineRule="auto"/>
        <w:ind w:firstLine="420" w:firstLineChars="200"/>
        <w:rPr>
          <w:rFonts w:hint="eastAsia" w:ascii="宋体" w:hAnsi="宋体" w:cs="Tahoma"/>
          <w:color w:val="auto"/>
          <w:szCs w:val="21"/>
        </w:rPr>
      </w:pPr>
      <w:r>
        <w:rPr>
          <w:rFonts w:hint="eastAsia" w:ascii="宋体" w:hAnsi="宋体" w:cs="Tahoma"/>
          <w:color w:val="auto"/>
          <w:szCs w:val="21"/>
        </w:rPr>
        <w:t>2、项目名称</w:t>
      </w:r>
      <w:r>
        <w:rPr>
          <w:rFonts w:hint="eastAsia" w:ascii="宋体" w:hAnsi="宋体" w:cs="Tahoma"/>
          <w:color w:val="auto"/>
          <w:kern w:val="28"/>
          <w:szCs w:val="21"/>
        </w:rPr>
        <w:t>：广弘控股业财一体化项目</w:t>
      </w:r>
    </w:p>
    <w:p>
      <w:pPr>
        <w:spacing w:line="360" w:lineRule="auto"/>
        <w:ind w:firstLine="420" w:firstLineChars="200"/>
        <w:rPr>
          <w:rFonts w:hint="eastAsia" w:ascii="宋体" w:hAnsi="宋体" w:cs="Tahoma"/>
          <w:color w:val="auto"/>
          <w:szCs w:val="21"/>
        </w:rPr>
      </w:pPr>
      <w:r>
        <w:rPr>
          <w:rFonts w:hint="eastAsia" w:ascii="宋体" w:hAnsi="宋体" w:cs="Tahoma"/>
          <w:color w:val="auto"/>
          <w:szCs w:val="21"/>
        </w:rPr>
        <w:t>3、项目类别：服务类</w:t>
      </w:r>
    </w:p>
    <w:p>
      <w:pPr>
        <w:spacing w:line="360" w:lineRule="auto"/>
        <w:ind w:firstLine="420" w:firstLineChars="200"/>
        <w:rPr>
          <w:rFonts w:hint="eastAsia" w:ascii="宋体" w:hAnsi="宋体" w:cs="Tahoma"/>
          <w:color w:val="auto"/>
          <w:szCs w:val="21"/>
        </w:rPr>
      </w:pPr>
      <w:r>
        <w:rPr>
          <w:rFonts w:hint="eastAsia" w:ascii="宋体" w:hAnsi="宋体" w:cs="Tahoma"/>
          <w:color w:val="auto"/>
          <w:szCs w:val="21"/>
        </w:rPr>
        <w:t>4、招标人：广东广弘控股股份有限公司</w:t>
      </w:r>
    </w:p>
    <w:p>
      <w:pPr>
        <w:spacing w:line="360" w:lineRule="auto"/>
        <w:ind w:firstLine="420" w:firstLineChars="200"/>
        <w:rPr>
          <w:rFonts w:hint="eastAsia" w:ascii="宋体" w:hAnsi="宋体" w:cs="Tahoma"/>
          <w:color w:val="auto"/>
          <w:szCs w:val="21"/>
        </w:rPr>
      </w:pPr>
      <w:r>
        <w:rPr>
          <w:rFonts w:hint="eastAsia" w:ascii="宋体" w:hAnsi="宋体" w:cs="Tahoma"/>
          <w:color w:val="auto"/>
          <w:szCs w:val="21"/>
        </w:rPr>
        <w:t>5、项目</w:t>
      </w:r>
      <w:r>
        <w:rPr>
          <w:rFonts w:hint="eastAsia" w:ascii="宋体" w:hAnsi="宋体"/>
          <w:color w:val="auto"/>
          <w:szCs w:val="21"/>
        </w:rPr>
        <w:t>内容、最高限价</w:t>
      </w:r>
      <w:r>
        <w:rPr>
          <w:rFonts w:hint="eastAsia" w:ascii="宋体" w:hAnsi="宋体" w:eastAsia="宋体" w:cs="Tahoma"/>
          <w:color w:val="auto"/>
          <w:kern w:val="28"/>
          <w:szCs w:val="21"/>
          <w:lang w:val="en-US" w:eastAsia="zh-CN"/>
        </w:rPr>
        <w:t>服务期限</w:t>
      </w:r>
      <w:r>
        <w:rPr>
          <w:rFonts w:hint="eastAsia" w:ascii="宋体" w:hAnsi="宋体"/>
          <w:color w:val="auto"/>
          <w:szCs w:val="21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ahoma"/>
          <w:color w:val="auto"/>
          <w:kern w:val="28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   项目内容：</w:t>
      </w:r>
      <w:r>
        <w:rPr>
          <w:rFonts w:hint="eastAsia" w:ascii="宋体" w:hAnsi="宋体" w:cs="Tahoma"/>
          <w:color w:val="auto"/>
          <w:kern w:val="28"/>
          <w:szCs w:val="21"/>
        </w:rPr>
        <w:t>广弘控股业财一体化</w:t>
      </w:r>
      <w:r>
        <w:rPr>
          <w:rFonts w:hint="eastAsia" w:ascii="宋体" w:hAnsi="宋体" w:cs="Tahoma"/>
          <w:color w:val="auto"/>
          <w:kern w:val="28"/>
          <w:szCs w:val="21"/>
          <w:lang w:val="en-US" w:eastAsia="zh-CN"/>
        </w:rPr>
        <w:t>一项（详见招标人需求）；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ahoma"/>
          <w:color w:val="auto"/>
          <w:kern w:val="28"/>
          <w:szCs w:val="21"/>
          <w:lang w:val="en-US" w:eastAsia="zh-CN"/>
        </w:rPr>
      </w:pPr>
      <w:r>
        <w:rPr>
          <w:rFonts w:hint="eastAsia" w:ascii="宋体" w:hAnsi="宋体" w:cs="Tahoma"/>
          <w:color w:val="auto"/>
          <w:kern w:val="28"/>
          <w:szCs w:val="21"/>
          <w:lang w:val="en-US" w:eastAsia="zh-CN"/>
        </w:rPr>
        <w:t xml:space="preserve">   最高限价：人民币</w:t>
      </w:r>
      <w:r>
        <w:rPr>
          <w:rFonts w:hint="eastAsia" w:ascii="宋体" w:hAnsi="宋体" w:eastAsia="宋体" w:cs="Tahoma"/>
          <w:color w:val="auto"/>
          <w:kern w:val="28"/>
          <w:szCs w:val="21"/>
          <w:lang w:val="en-US" w:eastAsia="zh-CN"/>
        </w:rPr>
        <w:t>798.8万元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ahoma"/>
          <w:color w:val="auto"/>
          <w:kern w:val="28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ahoma"/>
          <w:color w:val="FF0000"/>
          <w:kern w:val="28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Tahoma"/>
          <w:color w:val="auto"/>
          <w:kern w:val="28"/>
          <w:szCs w:val="21"/>
          <w:highlight w:val="none"/>
          <w:lang w:val="en-US" w:eastAsia="zh-CN"/>
        </w:rPr>
        <w:t xml:space="preserve"> 服务期限：共</w:t>
      </w: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Hans"/>
        </w:rPr>
        <w:t>个月</w:t>
      </w:r>
      <w:r>
        <w:rPr>
          <w:rFonts w:hint="eastAsia"/>
          <w:color w:val="auto"/>
          <w:highlight w:val="none"/>
          <w:lang w:val="en-US" w:eastAsia="zh-CN"/>
        </w:rPr>
        <w:t>，具体节点根据招标人要求及项目实施安排于合同签订阶段确定。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简要要求或招标项目的性质：</w:t>
      </w:r>
      <w:r>
        <w:rPr>
          <w:rFonts w:ascii="宋体" w:hAnsi="宋体"/>
          <w:color w:val="000000"/>
          <w:szCs w:val="21"/>
        </w:rPr>
        <w:t>所投</w:t>
      </w:r>
      <w:r>
        <w:rPr>
          <w:rFonts w:hint="eastAsia" w:ascii="宋体" w:hAnsi="宋体"/>
          <w:color w:val="000000"/>
          <w:szCs w:val="21"/>
        </w:rPr>
        <w:t>服务</w:t>
      </w:r>
      <w:r>
        <w:rPr>
          <w:rFonts w:ascii="宋体" w:hAnsi="宋体"/>
          <w:color w:val="000000"/>
          <w:szCs w:val="21"/>
        </w:rPr>
        <w:t>须符合国家</w:t>
      </w:r>
      <w:r>
        <w:rPr>
          <w:rFonts w:hint="eastAsia" w:ascii="宋体" w:hAnsi="宋体"/>
          <w:color w:val="000000"/>
          <w:szCs w:val="21"/>
        </w:rPr>
        <w:t>及行业</w:t>
      </w:r>
      <w:r>
        <w:rPr>
          <w:rFonts w:ascii="宋体" w:hAnsi="宋体"/>
          <w:color w:val="000000"/>
          <w:szCs w:val="21"/>
        </w:rPr>
        <w:t>有关指标</w:t>
      </w:r>
      <w:r>
        <w:rPr>
          <w:rFonts w:hint="eastAsia" w:ascii="宋体" w:hAnsi="宋体"/>
          <w:color w:val="000000"/>
          <w:szCs w:val="21"/>
        </w:rPr>
        <w:t>的要求</w:t>
      </w:r>
      <w:r>
        <w:rPr>
          <w:rFonts w:ascii="宋体" w:hAnsi="宋体"/>
          <w:color w:val="000000"/>
          <w:szCs w:val="21"/>
        </w:rPr>
        <w:t>（详见文件第</w:t>
      </w:r>
      <w:r>
        <w:rPr>
          <w:rFonts w:hint="eastAsia" w:ascii="宋体" w:hAnsi="宋体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章招标人需求）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6"/>
        <w:snapToGrid w:val="0"/>
        <w:spacing w:line="360" w:lineRule="auto"/>
        <w:ind w:firstLine="0"/>
        <w:rPr>
          <w:rFonts w:hint="eastAsia" w:cs="Arial"/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</w:rPr>
        <w:t>★</w:t>
      </w:r>
      <w:r>
        <w:rPr>
          <w:rFonts w:hint="eastAsia" w:cs="Tahoma"/>
          <w:b/>
          <w:bCs w:val="0"/>
          <w:sz w:val="21"/>
          <w:szCs w:val="21"/>
        </w:rPr>
        <w:t>二、</w:t>
      </w:r>
      <w:r>
        <w:rPr>
          <w:rFonts w:hint="eastAsia" w:cs="Arial"/>
          <w:b/>
          <w:bCs w:val="0"/>
          <w:sz w:val="21"/>
          <w:szCs w:val="21"/>
        </w:rPr>
        <w:t>合格投标人资格要求</w:t>
      </w:r>
    </w:p>
    <w:p>
      <w:pPr>
        <w:pStyle w:val="6"/>
        <w:snapToGrid w:val="0"/>
        <w:spacing w:line="360" w:lineRule="auto"/>
        <w:ind w:firstLine="0"/>
        <w:rPr>
          <w:rFonts w:hint="eastAsia" w:cs="Tahoma"/>
          <w:color w:val="FF0000"/>
          <w:sz w:val="21"/>
          <w:szCs w:val="21"/>
        </w:rPr>
      </w:pPr>
      <w:r>
        <w:rPr>
          <w:rFonts w:hint="eastAsia" w:cs="Arial"/>
          <w:sz w:val="24"/>
          <w:szCs w:val="24"/>
        </w:rPr>
        <w:t xml:space="preserve">   </w:t>
      </w:r>
      <w:r>
        <w:rPr>
          <w:rFonts w:hint="eastAsia" w:cs="Arial"/>
          <w:color w:val="FF0000"/>
          <w:sz w:val="24"/>
          <w:szCs w:val="24"/>
        </w:rPr>
        <w:t xml:space="preserve"> </w:t>
      </w:r>
      <w:r>
        <w:rPr>
          <w:rFonts w:hint="eastAsia"/>
          <w:sz w:val="21"/>
          <w:szCs w:val="21"/>
        </w:rPr>
        <w:t>参加本项目投标的投标人必须符合下列要求</w:t>
      </w:r>
      <w:r>
        <w:rPr>
          <w:rFonts w:hint="eastAsia"/>
          <w:color w:val="FF0000"/>
          <w:sz w:val="21"/>
          <w:szCs w:val="21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cs="Tahoma"/>
          <w:color w:val="auto"/>
          <w:szCs w:val="21"/>
        </w:rPr>
      </w:pPr>
      <w:r>
        <w:rPr>
          <w:rFonts w:hint="eastAsia" w:ascii="宋体" w:hAnsi="宋体" w:cs="Tahoma"/>
          <w:color w:val="auto"/>
          <w:szCs w:val="21"/>
        </w:rPr>
        <w:t>1、</w:t>
      </w:r>
      <w:r>
        <w:rPr>
          <w:rFonts w:hint="eastAsia" w:ascii="宋体" w:hAnsi="宋体" w:cs="宋体"/>
          <w:color w:val="auto"/>
          <w:szCs w:val="21"/>
        </w:rPr>
        <w:t>投标人必须是国内合法注册的法人或其他组织，</w:t>
      </w:r>
      <w:r>
        <w:rPr>
          <w:rFonts w:hint="eastAsia" w:ascii="宋体" w:hAnsi="宋体" w:cs="Arial"/>
          <w:color w:val="auto"/>
          <w:szCs w:val="21"/>
        </w:rPr>
        <w:t>分公司投标的必须由具有法人资格的总公司授权</w:t>
      </w:r>
      <w:r>
        <w:rPr>
          <w:rFonts w:hint="eastAsia" w:ascii="宋体" w:hAnsi="宋体"/>
          <w:color w:val="auto"/>
          <w:szCs w:val="21"/>
        </w:rPr>
        <w:t>；</w:t>
      </w:r>
    </w:p>
    <w:p>
      <w:pPr>
        <w:snapToGrid w:val="0"/>
        <w:spacing w:line="360" w:lineRule="auto"/>
        <w:ind w:left="181" w:leftChars="86" w:firstLine="210" w:firstLineChars="100"/>
        <w:rPr>
          <w:rFonts w:hint="eastAsia" w:ascii="宋体" w:hAnsi="宋体" w:cs="Tahoma"/>
          <w:color w:val="auto"/>
          <w:szCs w:val="21"/>
          <w:lang w:eastAsia="zh-CN"/>
        </w:rPr>
      </w:pPr>
      <w:r>
        <w:rPr>
          <w:rFonts w:hint="eastAsia" w:ascii="宋体" w:hAnsi="宋体" w:cs="Tahoma"/>
          <w:color w:val="auto"/>
          <w:szCs w:val="21"/>
        </w:rPr>
        <w:t>2、本项目不接受联合体投标</w:t>
      </w:r>
      <w:r>
        <w:rPr>
          <w:rFonts w:hint="eastAsia" w:ascii="宋体" w:hAnsi="宋体" w:cs="Tahoma"/>
          <w:color w:val="auto"/>
          <w:szCs w:val="21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ind w:firstLine="0" w:firstLineChars="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三、</w:t>
      </w:r>
      <w:r>
        <w:rPr>
          <w:rFonts w:hint="eastAsia" w:ascii="宋体" w:hAnsi="宋体" w:cs="宋体"/>
          <w:color w:val="auto"/>
          <w:szCs w:val="21"/>
        </w:rPr>
        <w:t>招标文件的获取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</w:rPr>
        <w:t>.1 请投标人于20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08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日至20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</w:rPr>
        <w:t>日（法定公休日、法定节假日除外），每日上午9：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0</w:t>
      </w:r>
      <w:r>
        <w:rPr>
          <w:rFonts w:hint="eastAsia" w:ascii="宋体" w:hAnsi="宋体" w:cs="宋体"/>
          <w:color w:val="auto"/>
          <w:szCs w:val="21"/>
        </w:rPr>
        <w:t>0时至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</w:rPr>
        <w:t>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0</w:t>
      </w:r>
      <w:r>
        <w:rPr>
          <w:rFonts w:hint="eastAsia" w:ascii="宋体" w:hAnsi="宋体" w:cs="宋体"/>
          <w:color w:val="auto"/>
          <w:szCs w:val="21"/>
        </w:rPr>
        <w:t>0时，下午14：00时至1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1"/>
        </w:rPr>
        <w:t>：00时（北京时间，下同），在广州群生招标代理有限公司（详细地址：广州市东风东路555号粤海集团大厦2203-2204）登记及获取招标文件。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</w:rPr>
        <w:t>.2 招标文件每套售价500元人民币/标段（现金获取），售后不退。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</w:rPr>
        <w:t>.3 登记时应递交</w:t>
      </w:r>
      <w:r>
        <w:rPr>
          <w:rFonts w:hint="eastAsia" w:ascii="宋体" w:hAnsi="宋体"/>
          <w:bCs/>
          <w:szCs w:val="21"/>
        </w:rPr>
        <w:t>报名单位的营业执照（副本）/事业单位法人证书复印件【若营业执照/事业单位法人证书无法显示经营范围的，则提供商事主体信息最新查询结果（显示经营范围）的截屏打印件复印件】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</w:rPr>
        <w:t>法定代表人证明书原件及身份证复印件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</w:rPr>
        <w:t>法定代表人授权委托书原件及投标人授权代表身份证复印件【非法定代表人报名时提供】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/>
        </w:rPr>
        <w:t>投标登记申请表原件</w:t>
      </w:r>
      <w:r>
        <w:rPr>
          <w:rFonts w:hint="eastAsia" w:ascii="宋体" w:hAnsi="宋体"/>
          <w:bCs/>
          <w:szCs w:val="21"/>
        </w:rPr>
        <w:t>（原件，版本从http://ggzy.gz.gov.cn/fwznzlxzjsgc/629437.jhtml下载）。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/>
          <w:bCs/>
          <w:szCs w:val="21"/>
        </w:rPr>
        <w:t>说明：报名单位须保证所提交资料真实、完整、有效、一致，否则自行承担由此导致的与本项目有关的任何损失。招标代理机构将核对报名单位提交的上述资料，且只接受完整提交上述资料报名单位的报名。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</w:rPr>
        <w:t>.4 投标人登记前应在广州公共资源交易中心办理好企业信息登记，办理方法详见广州公共资源交易中心网站</w:t>
      </w:r>
      <w:r>
        <w:rPr>
          <w:rFonts w:hint="eastAsia" w:ascii="宋体" w:hAnsi="宋体" w:cs="宋体"/>
          <w:color w:val="auto"/>
        </w:rPr>
        <w:t>。</w:t>
      </w:r>
    </w:p>
    <w:p>
      <w:pPr>
        <w:pStyle w:val="2"/>
      </w:pPr>
    </w:p>
    <w:p>
      <w:pPr>
        <w:autoSpaceDE w:val="0"/>
        <w:autoSpaceDN w:val="0"/>
        <w:adjustRightInd w:val="0"/>
        <w:spacing w:before="60" w:after="60" w:line="360" w:lineRule="auto"/>
        <w:textAlignment w:val="baseline"/>
        <w:outlineLvl w:val="1"/>
        <w:rPr>
          <w:rFonts w:ascii="宋体" w:hAnsi="宋体" w:cs="宋体"/>
          <w:b/>
          <w:color w:val="auto"/>
          <w:kern w:val="20"/>
          <w:szCs w:val="21"/>
        </w:rPr>
      </w:pPr>
      <w:bookmarkStart w:id="1" w:name="_Toc452942154"/>
      <w:bookmarkStart w:id="2" w:name="_Toc210327501"/>
      <w:bookmarkStart w:id="3" w:name="_Toc447782851"/>
      <w:bookmarkStart w:id="4" w:name="_Toc403352340"/>
      <w:bookmarkStart w:id="5" w:name="_Toc277917508"/>
      <w:bookmarkStart w:id="6" w:name="_Toc276714877"/>
      <w:bookmarkStart w:id="7" w:name="_Toc1332"/>
      <w:bookmarkStart w:id="8" w:name="_Toc210364687"/>
      <w:bookmarkStart w:id="9" w:name="_Toc210355363"/>
      <w:r>
        <w:rPr>
          <w:rFonts w:hint="eastAsia" w:ascii="宋体" w:hAnsi="宋体" w:cs="宋体"/>
          <w:b/>
          <w:color w:val="auto"/>
          <w:kern w:val="20"/>
          <w:szCs w:val="21"/>
          <w:lang w:val="en-US" w:eastAsia="zh-CN"/>
        </w:rPr>
        <w:t>四、</w:t>
      </w:r>
      <w:r>
        <w:rPr>
          <w:rFonts w:hint="eastAsia" w:ascii="宋体" w:hAnsi="宋体" w:cs="宋体"/>
          <w:b/>
          <w:color w:val="auto"/>
          <w:kern w:val="20"/>
          <w:szCs w:val="21"/>
        </w:rPr>
        <w:t>投标文件的递交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left="0" w:leftChars="0"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1"/>
        </w:rPr>
        <w:t>.1 递交投标文件的时间为20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日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时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15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分至20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color w:val="auto"/>
          <w:szCs w:val="21"/>
        </w:rPr>
        <w:t>日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时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1"/>
        </w:rPr>
        <w:t>分，递交投标文件的截止时间（投标截止时间，下同）为20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日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时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1"/>
        </w:rPr>
        <w:t>分，地点为广州公共资源交易中心第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09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开标室。</w:t>
      </w:r>
    </w:p>
    <w:p>
      <w:pPr>
        <w:pStyle w:val="6"/>
        <w:snapToGrid w:val="0"/>
        <w:spacing w:line="360" w:lineRule="auto"/>
        <w:ind w:firstLine="420" w:firstLineChars="200"/>
        <w:rPr>
          <w:rFonts w:hint="eastAsia" w:eastAsia="宋体" w:cs="宋体"/>
          <w:color w:val="auto"/>
          <w:sz w:val="21"/>
          <w:szCs w:val="21"/>
        </w:rPr>
      </w:pP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.2 逾期送达或者未送达指定地点或者未按规定密封的投标文件，招标人不予受理。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五</w:t>
      </w:r>
      <w:r>
        <w:rPr>
          <w:rFonts w:hint="eastAsia" w:ascii="宋体" w:hAnsi="宋体"/>
          <w:b/>
          <w:bCs/>
          <w:szCs w:val="21"/>
        </w:rPr>
        <w:t>、发布公告的媒体及其他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5.1</w:t>
      </w:r>
      <w:r>
        <w:rPr>
          <w:rFonts w:hint="eastAsia" w:ascii="宋体" w:hAnsi="宋体"/>
          <w:szCs w:val="21"/>
        </w:rPr>
        <w:t>本项目的所有相关</w:t>
      </w:r>
      <w:r>
        <w:rPr>
          <w:rFonts w:hint="eastAsia" w:ascii="宋体" w:hAnsi="宋体"/>
          <w:color w:val="auto"/>
          <w:szCs w:val="21"/>
        </w:rPr>
        <w:t>公告会在</w:t>
      </w:r>
      <w:r>
        <w:rPr>
          <w:rFonts w:hint="eastAsia" w:ascii="宋体" w:hAnsi="宋体"/>
          <w:color w:val="auto"/>
          <w:szCs w:val="21"/>
          <w:lang w:val="en-US" w:eastAsia="zh-CN"/>
        </w:rPr>
        <w:t>广州公共资源交易中心、中国招标投标公共服务平台</w:t>
      </w:r>
      <w:r>
        <w:rPr>
          <w:rFonts w:hint="eastAsia" w:ascii="宋体" w:hAnsi="宋体"/>
          <w:color w:val="auto"/>
          <w:szCs w:val="21"/>
        </w:rPr>
        <w:t>和广州群生招标代理有限公司网站上公布，公布之日即视为有效送达之日，不再另行通知。</w:t>
      </w:r>
    </w:p>
    <w:p>
      <w:pPr>
        <w:widowControl/>
        <w:autoSpaceDE w:val="0"/>
        <w:autoSpaceDN w:val="0"/>
        <w:adjustRightInd w:val="0"/>
        <w:spacing w:line="360" w:lineRule="auto"/>
        <w:ind w:firstLine="420" w:firstLineChars="200"/>
        <w:textAlignment w:val="baseline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5.</w:t>
      </w:r>
      <w:r>
        <w:rPr>
          <w:rFonts w:hint="eastAsia" w:ascii="宋体" w:hAnsi="宋体" w:cs="宋体"/>
          <w:color w:val="auto"/>
          <w:kern w:val="0"/>
          <w:szCs w:val="21"/>
        </w:rPr>
        <w:t>2 本次招标资格审查方式采用资格后审。</w:t>
      </w:r>
    </w:p>
    <w:p>
      <w:pPr>
        <w:pStyle w:val="14"/>
        <w:spacing w:line="360" w:lineRule="auto"/>
        <w:ind w:left="0" w:leftChars="0"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1"/>
        </w:rPr>
        <w:t>.3 潜在投标人或利害关系人对本招标公告及招标文件内容有异议的，向招标人书面提出。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宋体" w:hAnsi="宋体" w:eastAsia="宋体" w:cs="Tahoma"/>
          <w:b/>
          <w:bCs/>
          <w:i w:val="0"/>
          <w:iCs w:val="0"/>
          <w:szCs w:val="21"/>
          <w:lang w:val="en-US" w:eastAsia="zh-CN"/>
        </w:rPr>
      </w:pPr>
      <w:r>
        <w:rPr>
          <w:rFonts w:hint="eastAsia" w:ascii="宋体" w:hAnsi="宋体" w:eastAsia="宋体" w:cs="Tahoma"/>
          <w:b/>
          <w:bCs/>
          <w:i w:val="0"/>
          <w:iCs w:val="0"/>
          <w:szCs w:val="21"/>
          <w:lang w:val="en-US" w:eastAsia="zh-CN"/>
        </w:rPr>
        <w:t>六</w:t>
      </w:r>
      <w:r>
        <w:rPr>
          <w:rFonts w:hint="eastAsia" w:ascii="宋体" w:hAnsi="宋体" w:eastAsia="宋体" w:cs="Tahoma"/>
          <w:b/>
          <w:bCs/>
          <w:i w:val="0"/>
          <w:iCs w:val="0"/>
          <w:szCs w:val="21"/>
        </w:rPr>
        <w:t>、</w:t>
      </w:r>
      <w:r>
        <w:rPr>
          <w:rFonts w:hint="eastAsia" w:ascii="宋体" w:hAnsi="宋体" w:eastAsia="宋体" w:cs="Tahoma"/>
          <w:b/>
          <w:bCs/>
          <w:i w:val="0"/>
          <w:iCs w:val="0"/>
          <w:szCs w:val="21"/>
          <w:lang w:val="en-US" w:eastAsia="zh-CN"/>
        </w:rPr>
        <w:t>联系方式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招标代理机构：广州群生招标代理有限公司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地        址：广州市东风东路555号粤海集团大厦2203-2204房</w:t>
      </w:r>
    </w:p>
    <w:p>
      <w:pPr>
        <w:spacing w:line="360" w:lineRule="auto"/>
        <w:rPr>
          <w:rFonts w:hint="default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</w:rPr>
        <w:t xml:space="preserve">联   系   人： 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马工、刘工</w:t>
      </w:r>
      <w:r>
        <w:rPr>
          <w:rFonts w:hint="eastAsia" w:ascii="宋体" w:hAnsi="宋体" w:eastAsia="宋体" w:cs="Times New Roman"/>
          <w:color w:val="auto"/>
          <w:szCs w:val="21"/>
        </w:rPr>
        <w:t xml:space="preserve">        联系电话：020-83812782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 w:ascii="宋体" w:cs="Tahoma"/>
          <w:szCs w:val="21"/>
        </w:rPr>
        <w:t>招标代理</w:t>
      </w:r>
      <w:r>
        <w:rPr>
          <w:rFonts w:ascii="宋体" w:cs="Tahoma"/>
          <w:szCs w:val="21"/>
        </w:rPr>
        <w:t>机构传真：</w:t>
      </w:r>
      <w:r>
        <w:rPr>
          <w:rFonts w:hint="eastAsia" w:ascii="宋体" w:cs="Tahoma"/>
          <w:szCs w:val="21"/>
        </w:rPr>
        <w:t>020-83812783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 xml:space="preserve">E-mail: </w:t>
      </w:r>
      <w:r>
        <w:rPr>
          <w:rFonts w:hint="eastAsia"/>
          <w:szCs w:val="21"/>
        </w:rPr>
        <w:t xml:space="preserve"> gzqunsheng@gzqunsheng.com    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网址：</w:t>
      </w: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"http://www.gzqunsheng.com" </w:instrText>
      </w:r>
      <w:r>
        <w:rPr>
          <w:rFonts w:hint="eastAsia"/>
          <w:szCs w:val="21"/>
        </w:rPr>
        <w:fldChar w:fldCharType="separate"/>
      </w:r>
      <w:r>
        <w:rPr>
          <w:rStyle w:val="13"/>
          <w:rFonts w:hint="eastAsia"/>
          <w:szCs w:val="21"/>
        </w:rPr>
        <w:t>http://www.gzqunsheng.com</w:t>
      </w:r>
      <w:r>
        <w:rPr>
          <w:rFonts w:hint="eastAsia"/>
          <w:szCs w:val="21"/>
        </w:rPr>
        <w:fldChar w:fldCharType="end"/>
      </w:r>
    </w:p>
    <w:p>
      <w:pPr>
        <w:pStyle w:val="7"/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招   标   人：</w:t>
      </w:r>
      <w:r>
        <w:rPr>
          <w:rFonts w:hint="eastAsia" w:ascii="宋体" w:hAnsi="宋体" w:cs="Tahoma"/>
          <w:color w:val="auto"/>
          <w:szCs w:val="21"/>
        </w:rPr>
        <w:t>广东广弘控股股份有限公司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地        址：广州市东风中路437号越秀城市广场南塔37楼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联   系   人：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 xml:space="preserve">唐女士     </w:t>
      </w:r>
      <w:r>
        <w:rPr>
          <w:rFonts w:hint="eastAsia" w:ascii="宋体" w:hAnsi="宋体" w:eastAsia="宋体" w:cs="Times New Roman"/>
          <w:color w:val="auto"/>
          <w:szCs w:val="21"/>
        </w:rPr>
        <w:t xml:space="preserve">  电话：020-83603970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异议受理部门：</w:t>
      </w:r>
      <w:r>
        <w:rPr>
          <w:rFonts w:hint="eastAsia" w:ascii="宋体" w:hAnsi="宋体" w:cs="Tahoma"/>
          <w:color w:val="auto"/>
          <w:szCs w:val="21"/>
        </w:rPr>
        <w:t>广东广弘控股股份有限公司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地        址：广州市东风中路437号越秀城市广场南塔37楼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联   系   人：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 xml:space="preserve">唐女士     </w:t>
      </w:r>
      <w:r>
        <w:rPr>
          <w:rFonts w:hint="eastAsia" w:ascii="宋体" w:hAnsi="宋体" w:eastAsia="宋体" w:cs="Times New Roman"/>
          <w:color w:val="auto"/>
          <w:szCs w:val="21"/>
        </w:rPr>
        <w:t xml:space="preserve">  电话：020-83603970</w:t>
      </w:r>
    </w:p>
    <w:p>
      <w:pPr>
        <w:pStyle w:val="7"/>
        <w:rPr>
          <w:rFonts w:hint="eastAsia"/>
        </w:rPr>
      </w:pPr>
    </w:p>
    <w:p>
      <w:pPr>
        <w:spacing w:line="360" w:lineRule="auto"/>
        <w:jc w:val="right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广州群生招标代理有限公司</w:t>
      </w:r>
    </w:p>
    <w:p>
      <w:pPr>
        <w:spacing w:line="360" w:lineRule="auto"/>
        <w:jc w:val="right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2021年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12</w:t>
      </w:r>
      <w:r>
        <w:rPr>
          <w:rFonts w:hint="eastAsia" w:ascii="宋体" w:hAnsi="宋体" w:eastAsia="宋体" w:cs="Times New Roman"/>
          <w:color w:val="auto"/>
          <w:szCs w:val="21"/>
        </w:rPr>
        <w:t>月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08</w:t>
      </w:r>
      <w:bookmarkStart w:id="10" w:name="_GoBack"/>
      <w:bookmarkEnd w:id="10"/>
      <w:r>
        <w:rPr>
          <w:rFonts w:hint="eastAsia" w:ascii="宋体" w:hAnsi="宋体" w:eastAsia="宋体" w:cs="Times New Roman"/>
          <w:color w:val="auto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62D22F"/>
    <w:multiLevelType w:val="singleLevel"/>
    <w:tmpl w:val="ED62D22F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D3270"/>
    <w:rsid w:val="0BA70128"/>
    <w:rsid w:val="2BBA3277"/>
    <w:rsid w:val="4611128A"/>
    <w:rsid w:val="52F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 w:line="360" w:lineRule="exact"/>
      <w:ind w:left="400" w:leftChars="400" w:firstLine="420" w:firstLineChars="100"/>
    </w:pPr>
    <w:rPr>
      <w:rFonts w:eastAsia="楷体_GB2312"/>
      <w:sz w:val="24"/>
      <w:szCs w:val="24"/>
    </w:rPr>
  </w:style>
  <w:style w:type="paragraph" w:styleId="3">
    <w:name w:val="Body Text"/>
    <w:basedOn w:val="1"/>
    <w:qFormat/>
    <w:uiPriority w:val="0"/>
    <w:rPr>
      <w:sz w:val="18"/>
      <w:szCs w:val="20"/>
    </w:rPr>
  </w:style>
  <w:style w:type="paragraph" w:customStyle="1" w:styleId="4">
    <w:name w:val="样式 正文首行缩进 + 宋体 小四 首行缩进:  1 字符"/>
    <w:basedOn w:val="1"/>
    <w:next w:val="1"/>
    <w:qFormat/>
    <w:uiPriority w:val="0"/>
    <w:pPr>
      <w:spacing w:after="120" w:line="360" w:lineRule="auto"/>
      <w:ind w:firstLine="150" w:firstLineChars="150"/>
    </w:pPr>
    <w:rPr>
      <w:rFonts w:ascii="宋体" w:hAnsi="宋体"/>
      <w:sz w:val="24"/>
      <w:szCs w:val="20"/>
    </w:rPr>
  </w:style>
  <w:style w:type="paragraph" w:styleId="6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Plain Text"/>
    <w:basedOn w:val="1"/>
    <w:next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8">
    <w:name w:val="footer"/>
    <w:basedOn w:val="1"/>
    <w:next w:val="1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thinThickLargeGap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qFormat/>
    <w:uiPriority w:val="0"/>
    <w:rPr>
      <w:rFonts w:ascii="宋体" w:hAnsi="宋体" w:eastAsia="Times New Roman"/>
      <w:spacing w:val="0"/>
      <w:kern w:val="18"/>
      <w:position w:val="0"/>
      <w:sz w:val="18"/>
      <w:szCs w:val="18"/>
    </w:rPr>
  </w:style>
  <w:style w:type="character" w:styleId="13">
    <w:name w:val="Hyperlink"/>
    <w:uiPriority w:val="0"/>
    <w:rPr>
      <w:color w:val="0000FF"/>
      <w:u w:val="single"/>
    </w:rPr>
  </w:style>
  <w:style w:type="paragraph" w:customStyle="1" w:styleId="14">
    <w:name w:val="表格文字"/>
    <w:basedOn w:val="1"/>
    <w:next w:val="1"/>
    <w:qFormat/>
    <w:uiPriority w:val="0"/>
    <w:pPr>
      <w:adjustRightInd w:val="0"/>
      <w:snapToGrid w:val="0"/>
      <w:ind w:left="150" w:hanging="150" w:hangingChars="15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2021-12-07T08:09:00Z</dcterms:created>
  <dc:creator>招标代理公司-lili</dc:creator>
  <cp:lastModifiedBy>招标代理</cp:lastModifiedBy>
  <dcterms:modified xsi:type="dcterms:W3CDTF">2021-12-08T01:32:46Z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07356FC8FEA64BAF8DB1211CC72EA90E</vt:lpwstr>
  </property>
</Properties>
</file>