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firstLine="5"/>
        <w:outlineLvl w:val="1"/>
        <w:rPr>
          <w:rFonts w:ascii="宋体" w:hAnsi="宋体" w:eastAsia="宋体" w:cs="宋体"/>
          <w:color w:val="auto"/>
          <w:highlight w:val="none"/>
        </w:rPr>
      </w:pPr>
      <w:r>
        <w:rPr>
          <w:rFonts w:hint="eastAsia" w:ascii="宋体" w:hAnsi="宋体" w:eastAsia="宋体" w:cs="宋体"/>
          <w:color w:val="auto"/>
          <w:spacing w:val="10"/>
          <w:highlight w:val="none"/>
        </w:rPr>
        <w:t>一、项目概况：</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本项目就以下内容进行国内公开招标：</w:t>
      </w:r>
    </w:p>
    <w:tbl>
      <w:tblPr>
        <w:tblStyle w:val="4"/>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851"/>
        <w:gridCol w:w="1749"/>
        <w:gridCol w:w="2904"/>
        <w:gridCol w:w="1292"/>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63"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服务内容</w:t>
            </w:r>
          </w:p>
        </w:tc>
        <w:tc>
          <w:tcPr>
            <w:tcW w:w="1851"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服务范围</w:t>
            </w:r>
          </w:p>
        </w:tc>
        <w:tc>
          <w:tcPr>
            <w:tcW w:w="1749" w:type="dxa"/>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合同履行期限</w:t>
            </w:r>
          </w:p>
          <w:p>
            <w:pPr>
              <w:spacing w:line="360" w:lineRule="auto"/>
              <w:jc w:val="center"/>
              <w:rPr>
                <w:rFonts w:hint="eastAsia" w:ascii="宋体" w:hAnsi="宋体" w:cs="宋体"/>
                <w:b/>
                <w:color w:val="auto"/>
                <w:szCs w:val="21"/>
                <w:highlight w:val="none"/>
              </w:rPr>
            </w:pPr>
            <w:r>
              <w:rPr>
                <w:rFonts w:hint="eastAsia" w:ascii="宋体" w:hAnsi="宋体" w:cs="宋体"/>
                <w:b/>
                <w:bCs/>
                <w:color w:val="auto"/>
                <w:szCs w:val="21"/>
                <w:highlight w:val="none"/>
              </w:rPr>
              <w:t>（服务时间）</w:t>
            </w:r>
          </w:p>
        </w:tc>
        <w:tc>
          <w:tcPr>
            <w:tcW w:w="2904"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最高限价</w:t>
            </w:r>
          </w:p>
        </w:tc>
        <w:tc>
          <w:tcPr>
            <w:tcW w:w="1292"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bCs/>
                <w:color w:val="auto"/>
                <w:szCs w:val="21"/>
                <w:highlight w:val="none"/>
              </w:rPr>
              <w:t>本项目所属行业</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763" w:type="dxa"/>
            <w:noWrap w:val="0"/>
            <w:vAlign w:val="center"/>
          </w:tcPr>
          <w:p>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广州市海绵城市建设年度评估工作</w:t>
            </w:r>
          </w:p>
        </w:tc>
        <w:tc>
          <w:tcPr>
            <w:tcW w:w="1851" w:type="dxa"/>
            <w:noWrap w:val="0"/>
            <w:vAlign w:val="center"/>
          </w:tcPr>
          <w:p>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采购人指定范围</w:t>
            </w:r>
          </w:p>
        </w:tc>
        <w:tc>
          <w:tcPr>
            <w:tcW w:w="1749" w:type="dxa"/>
            <w:noWrap w:val="0"/>
            <w:vAlign w:val="center"/>
          </w:tcPr>
          <w:p>
            <w:pPr>
              <w:autoSpaceDE w:val="0"/>
              <w:autoSpaceDN w:val="0"/>
              <w:adjustRightIn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2.5年</w:t>
            </w:r>
          </w:p>
        </w:tc>
        <w:tc>
          <w:tcPr>
            <w:tcW w:w="2904" w:type="dxa"/>
            <w:noWrap w:val="0"/>
            <w:vAlign w:val="center"/>
          </w:tcPr>
          <w:p>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人民币</w:t>
            </w:r>
            <w:r>
              <w:rPr>
                <w:rFonts w:hint="eastAsia" w:ascii="宋体" w:hAnsi="宋体" w:cs="宋体"/>
                <w:color w:val="auto"/>
                <w:szCs w:val="21"/>
                <w:highlight w:val="none"/>
                <w:lang w:val="en-US" w:eastAsia="zh-CN"/>
              </w:rPr>
              <w:t>1000.4</w:t>
            </w:r>
            <w:r>
              <w:rPr>
                <w:rFonts w:hint="eastAsia" w:ascii="宋体" w:hAnsi="宋体" w:cs="宋体"/>
                <w:color w:val="auto"/>
                <w:szCs w:val="21"/>
                <w:highlight w:val="none"/>
              </w:rPr>
              <w:t>万元</w:t>
            </w:r>
          </w:p>
        </w:tc>
        <w:tc>
          <w:tcPr>
            <w:tcW w:w="1292"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bl>
    <w:p>
      <w:pPr>
        <w:widowControl/>
        <w:snapToGrid w:val="0"/>
        <w:spacing w:line="360" w:lineRule="auto"/>
        <w:jc w:val="left"/>
        <w:textAlignment w:val="baseline"/>
        <w:rPr>
          <w:rStyle w:val="6"/>
          <w:rFonts w:hint="eastAsia" w:ascii="宋体" w:hAnsi="宋体" w:cs="宋体"/>
          <w:b/>
          <w:bCs/>
          <w:color w:val="auto"/>
          <w:szCs w:val="21"/>
          <w:highlight w:val="none"/>
        </w:rPr>
      </w:pPr>
      <w:r>
        <w:rPr>
          <w:rStyle w:val="6"/>
          <w:rFonts w:hint="eastAsia" w:ascii="宋体" w:hAnsi="宋体" w:cs="宋体"/>
          <w:b/>
          <w:bCs/>
          <w:color w:val="auto"/>
          <w:szCs w:val="21"/>
          <w:highlight w:val="none"/>
        </w:rPr>
        <w:t>二、项目背景</w:t>
      </w:r>
    </w:p>
    <w:p>
      <w:pPr>
        <w:pStyle w:val="7"/>
        <w:widowControl/>
        <w:snapToGrid w:val="0"/>
        <w:spacing w:line="360" w:lineRule="auto"/>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根据《国务院办公厅关于推进海绵城市建设的指导意见》（国办发﹝2015﹞75号）、《广东省人民政府办公厅关于推进海绵城市建设的实施意见》（粤府办﹝2016﹞53号) 等文件要求，2020年广州市城市建成区总面积的20%要达到海绵城市建设指标要求，2030年广州市城市建成区总面积的80%要达到海绵城市建设指标要求。广州市的海绵城市建设工作已完成国家下达的2020年考核目标，各区也已形成2020年的自评估报告。根据《财政部住房城乡建设部水利部关于开展系统化全域推进海绵城市建设示范工作的通知》（财办建﹝2021﹞35号）文件通知，广州市目前</w:t>
      </w:r>
      <w:r>
        <w:rPr>
          <w:rStyle w:val="6"/>
          <w:rFonts w:hint="eastAsia" w:ascii="宋体" w:hAnsi="宋体" w:cs="宋体"/>
          <w:color w:val="auto"/>
          <w:szCs w:val="21"/>
          <w:highlight w:val="none"/>
          <w:lang w:val="en-US" w:eastAsia="zh-CN"/>
        </w:rPr>
        <w:t>正</w:t>
      </w:r>
      <w:r>
        <w:rPr>
          <w:rStyle w:val="6"/>
          <w:rFonts w:hint="eastAsia" w:ascii="宋体" w:hAnsi="宋体" w:cs="宋体"/>
          <w:color w:val="auto"/>
          <w:szCs w:val="21"/>
          <w:highlight w:val="none"/>
        </w:rPr>
        <w:t>开展系统化全域推进海绵城市示范</w:t>
      </w:r>
      <w:r>
        <w:rPr>
          <w:rStyle w:val="6"/>
          <w:rFonts w:hint="eastAsia" w:ascii="宋体" w:hAnsi="宋体" w:cs="宋体"/>
          <w:color w:val="auto"/>
          <w:szCs w:val="21"/>
          <w:highlight w:val="none"/>
          <w:lang w:val="en-US" w:eastAsia="zh-CN"/>
        </w:rPr>
        <w:t>建设</w:t>
      </w:r>
      <w:r>
        <w:rPr>
          <w:rStyle w:val="6"/>
          <w:rFonts w:hint="eastAsia" w:ascii="宋体" w:hAnsi="宋体" w:cs="宋体"/>
          <w:color w:val="auto"/>
          <w:szCs w:val="21"/>
          <w:highlight w:val="none"/>
        </w:rPr>
        <w:t>工作。</w:t>
      </w:r>
    </w:p>
    <w:p>
      <w:pPr>
        <w:pStyle w:val="7"/>
        <w:widowControl/>
        <w:snapToGrid w:val="0"/>
        <w:spacing w:line="360" w:lineRule="auto"/>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为推动</w:t>
      </w:r>
      <w:r>
        <w:rPr>
          <w:rStyle w:val="6"/>
          <w:rFonts w:hint="eastAsia" w:ascii="宋体" w:hAnsi="宋体" w:cs="宋体"/>
          <w:color w:val="auto"/>
          <w:szCs w:val="21"/>
          <w:highlight w:val="none"/>
          <w:lang w:val="en-US" w:eastAsia="zh-CN"/>
        </w:rPr>
        <w:t>广州</w:t>
      </w:r>
      <w:r>
        <w:rPr>
          <w:rStyle w:val="6"/>
          <w:rFonts w:hint="eastAsia" w:ascii="宋体" w:hAnsi="宋体" w:cs="宋体"/>
          <w:color w:val="auto"/>
          <w:szCs w:val="21"/>
          <w:highlight w:val="none"/>
        </w:rPr>
        <w:t>海绵城市建设工作有效开展，做好国家海绵城市示范建设工作，需要相关技术支撑单位提供技术支撑，对</w:t>
      </w:r>
      <w:r>
        <w:rPr>
          <w:rStyle w:val="6"/>
          <w:rFonts w:hint="eastAsia" w:ascii="宋体" w:hAnsi="宋体" w:cs="宋体"/>
          <w:color w:val="auto"/>
          <w:szCs w:val="21"/>
          <w:highlight w:val="none"/>
          <w:lang w:val="en-US" w:eastAsia="zh-CN"/>
        </w:rPr>
        <w:t>合同期内</w:t>
      </w:r>
      <w:r>
        <w:rPr>
          <w:rStyle w:val="6"/>
          <w:rFonts w:hint="eastAsia" w:ascii="宋体" w:hAnsi="宋体" w:cs="宋体"/>
          <w:color w:val="auto"/>
          <w:szCs w:val="21"/>
          <w:highlight w:val="none"/>
        </w:rPr>
        <w:t>广州市</w:t>
      </w:r>
      <w:r>
        <w:rPr>
          <w:rStyle w:val="6"/>
          <w:rFonts w:hint="eastAsia" w:ascii="宋体" w:hAnsi="宋体" w:cs="宋体"/>
          <w:color w:val="auto"/>
          <w:szCs w:val="21"/>
          <w:highlight w:val="none"/>
          <w:lang w:val="en-US" w:eastAsia="zh-CN"/>
        </w:rPr>
        <w:t>及</w:t>
      </w:r>
      <w:r>
        <w:rPr>
          <w:rStyle w:val="6"/>
          <w:rFonts w:hint="eastAsia" w:ascii="宋体" w:hAnsi="宋体" w:cs="宋体"/>
          <w:color w:val="auto"/>
          <w:szCs w:val="21"/>
          <w:highlight w:val="none"/>
        </w:rPr>
        <w:t>各区海绵城市建设</w:t>
      </w:r>
      <w:r>
        <w:rPr>
          <w:rStyle w:val="6"/>
          <w:rFonts w:hint="eastAsia" w:ascii="宋体" w:hAnsi="宋体" w:cs="宋体"/>
          <w:color w:val="auto"/>
          <w:szCs w:val="21"/>
          <w:highlight w:val="none"/>
          <w:lang w:val="en-US" w:eastAsia="zh-CN"/>
        </w:rPr>
        <w:t>成效</w:t>
      </w:r>
      <w:r>
        <w:rPr>
          <w:rStyle w:val="6"/>
          <w:rFonts w:hint="eastAsia" w:ascii="宋体" w:hAnsi="宋体" w:cs="宋体"/>
          <w:color w:val="auto"/>
          <w:szCs w:val="21"/>
          <w:highlight w:val="none"/>
        </w:rPr>
        <w:t>进行综合评估、</w:t>
      </w:r>
      <w:r>
        <w:rPr>
          <w:rStyle w:val="6"/>
          <w:rFonts w:hint="eastAsia" w:ascii="宋体" w:hAnsi="宋体" w:cs="宋体"/>
          <w:color w:val="auto"/>
          <w:szCs w:val="21"/>
          <w:highlight w:val="none"/>
          <w:lang w:val="en-US" w:eastAsia="zh-CN"/>
        </w:rPr>
        <w:t>对</w:t>
      </w:r>
      <w:r>
        <w:rPr>
          <w:rStyle w:val="6"/>
          <w:rFonts w:hint="eastAsia" w:ascii="宋体" w:hAnsi="宋体" w:cs="宋体"/>
          <w:color w:val="auto"/>
          <w:szCs w:val="21"/>
          <w:highlight w:val="none"/>
          <w:lang w:val="en-US" w:eastAsia="zh-CN"/>
        </w:rPr>
        <w:t>往年的</w:t>
      </w:r>
      <w:r>
        <w:rPr>
          <w:rStyle w:val="6"/>
          <w:rFonts w:hint="eastAsia" w:ascii="宋体" w:hAnsi="宋体" w:cs="宋体"/>
          <w:color w:val="auto"/>
          <w:szCs w:val="21"/>
          <w:highlight w:val="none"/>
          <w:lang w:val="en-US" w:eastAsia="zh-CN"/>
        </w:rPr>
        <w:t>建设成效进行</w:t>
      </w:r>
      <w:r>
        <w:rPr>
          <w:rStyle w:val="6"/>
          <w:rFonts w:hint="eastAsia" w:ascii="宋体" w:hAnsi="宋体" w:cs="宋体"/>
          <w:color w:val="auto"/>
          <w:szCs w:val="21"/>
          <w:highlight w:val="none"/>
        </w:rPr>
        <w:t>“回头看”评估，</w:t>
      </w:r>
      <w:r>
        <w:rPr>
          <w:rStyle w:val="6"/>
          <w:rFonts w:hint="eastAsia" w:ascii="宋体" w:hAnsi="宋体" w:cs="宋体"/>
          <w:color w:val="auto"/>
          <w:szCs w:val="21"/>
          <w:highlight w:val="none"/>
          <w:lang w:val="en-US" w:eastAsia="zh-CN"/>
        </w:rPr>
        <w:t>并开展相关技术咨询和建设成效宣传等工作，</w:t>
      </w:r>
      <w:r>
        <w:rPr>
          <w:rStyle w:val="6"/>
          <w:rFonts w:hint="eastAsia" w:ascii="宋体" w:hAnsi="宋体" w:cs="宋体"/>
          <w:color w:val="auto"/>
          <w:szCs w:val="21"/>
          <w:highlight w:val="none"/>
        </w:rPr>
        <w:t>确保各区按《广州市海绵城市建设实施方案（2021-2025）》及系统化全域推进海绵城市建设示范工作的要求完成相关</w:t>
      </w:r>
      <w:r>
        <w:rPr>
          <w:rStyle w:val="6"/>
          <w:rFonts w:hint="eastAsia" w:ascii="宋体" w:hAnsi="宋体" w:cs="宋体"/>
          <w:color w:val="auto"/>
          <w:szCs w:val="21"/>
          <w:highlight w:val="none"/>
          <w:lang w:val="en-US" w:eastAsia="zh-CN"/>
        </w:rPr>
        <w:t>任务</w:t>
      </w:r>
      <w:r>
        <w:rPr>
          <w:rStyle w:val="6"/>
          <w:rFonts w:hint="eastAsia" w:ascii="宋体" w:hAnsi="宋体" w:cs="宋体"/>
          <w:color w:val="auto"/>
          <w:szCs w:val="21"/>
          <w:highlight w:val="none"/>
        </w:rPr>
        <w:t>。</w:t>
      </w:r>
    </w:p>
    <w:p>
      <w:pPr>
        <w:spacing w:line="360" w:lineRule="auto"/>
        <w:rPr>
          <w:rStyle w:val="6"/>
          <w:rFonts w:hint="eastAsia" w:ascii="宋体" w:hAnsi="宋体" w:cs="宋体"/>
          <w:color w:val="auto"/>
          <w:szCs w:val="21"/>
          <w:highlight w:val="none"/>
        </w:rPr>
      </w:pPr>
      <w:r>
        <w:rPr>
          <w:rStyle w:val="6"/>
          <w:rFonts w:hint="eastAsia" w:ascii="宋体" w:hAnsi="宋体" w:cs="宋体"/>
          <w:b/>
          <w:bCs/>
          <w:color w:val="auto"/>
          <w:szCs w:val="21"/>
          <w:highlight w:val="none"/>
        </w:rPr>
        <w:t>三、</w:t>
      </w:r>
      <w:r>
        <w:rPr>
          <w:rStyle w:val="6"/>
          <w:rFonts w:hint="eastAsia" w:ascii="宋体" w:hAnsi="宋体" w:cs="宋体"/>
          <w:b/>
          <w:bCs/>
          <w:color w:val="auto"/>
          <w:szCs w:val="21"/>
          <w:highlight w:val="none"/>
          <w:lang w:val="en-US" w:eastAsia="zh-CN"/>
        </w:rPr>
        <w:t>主要</w:t>
      </w:r>
      <w:r>
        <w:rPr>
          <w:rStyle w:val="6"/>
          <w:rFonts w:hint="eastAsia" w:ascii="宋体" w:hAnsi="宋体" w:cs="宋体"/>
          <w:b/>
          <w:bCs/>
          <w:color w:val="auto"/>
          <w:szCs w:val="21"/>
          <w:highlight w:val="none"/>
        </w:rPr>
        <w:t>评估依据及对象</w:t>
      </w:r>
    </w:p>
    <w:p>
      <w:pPr>
        <w:bidi w:val="0"/>
        <w:spacing w:line="360" w:lineRule="auto"/>
        <w:ind w:firstLine="420" w:firstLineChars="200"/>
        <w:rPr>
          <w:rFonts w:hint="eastAsia"/>
          <w:lang w:eastAsia="zh-CN"/>
        </w:rPr>
      </w:pPr>
      <w:r>
        <w:rPr>
          <w:rFonts w:hint="eastAsia"/>
          <w:lang w:val="en-US" w:eastAsia="zh-CN"/>
        </w:rPr>
        <w:t>主要评估依据：</w:t>
      </w:r>
      <w:r>
        <w:rPr>
          <w:rFonts w:hint="eastAsia"/>
        </w:rPr>
        <w:t>《海绵城市建设评价标准》（GB/T 51345-2018）</w:t>
      </w:r>
      <w:r>
        <w:rPr>
          <w:rFonts w:hint="eastAsia"/>
          <w:lang w:eastAsia="zh-CN"/>
        </w:rPr>
        <w:t>、</w:t>
      </w:r>
      <w:r>
        <w:rPr>
          <w:rFonts w:hint="eastAsia"/>
        </w:rPr>
        <w:t>《海绵城市建设绩效评价与考核办法（试行）》</w:t>
      </w:r>
      <w:r>
        <w:rPr>
          <w:rFonts w:hint="eastAsia"/>
          <w:lang w:val="en-US" w:eastAsia="zh-CN"/>
        </w:rPr>
        <w:t>和</w:t>
      </w:r>
      <w:r>
        <w:rPr>
          <w:rFonts w:hint="eastAsia"/>
        </w:rPr>
        <w:t>其他</w:t>
      </w:r>
      <w:r>
        <w:rPr>
          <w:rFonts w:hint="eastAsia"/>
          <w:lang w:val="en-US" w:eastAsia="zh-CN"/>
        </w:rPr>
        <w:t>国家、省、市</w:t>
      </w:r>
      <w:r>
        <w:rPr>
          <w:rFonts w:hint="eastAsia"/>
        </w:rPr>
        <w:t>相关文件</w:t>
      </w:r>
      <w:r>
        <w:rPr>
          <w:rFonts w:hint="eastAsia"/>
          <w:lang w:eastAsia="zh-CN"/>
        </w:rPr>
        <w:t>。</w:t>
      </w:r>
    </w:p>
    <w:p>
      <w:pPr>
        <w:bidi w:val="0"/>
        <w:spacing w:line="360" w:lineRule="auto"/>
        <w:ind w:firstLine="420" w:firstLineChars="200"/>
        <w:rPr>
          <w:rFonts w:hint="eastAsia"/>
        </w:rPr>
      </w:pPr>
      <w:r>
        <w:rPr>
          <w:rFonts w:hint="eastAsia"/>
        </w:rPr>
        <w:t>评估对象</w:t>
      </w:r>
      <w:r>
        <w:rPr>
          <w:rFonts w:hint="eastAsia"/>
          <w:lang w:eastAsia="zh-CN"/>
        </w:rPr>
        <w:t>：</w:t>
      </w:r>
      <w:r>
        <w:rPr>
          <w:rFonts w:hint="eastAsia"/>
        </w:rPr>
        <w:t>广州市</w:t>
      </w:r>
      <w:r>
        <w:rPr>
          <w:rFonts w:hint="eastAsia"/>
          <w:lang w:val="en-US" w:eastAsia="zh-CN"/>
        </w:rPr>
        <w:t>和</w:t>
      </w:r>
      <w:r>
        <w:rPr>
          <w:rFonts w:hint="eastAsia"/>
        </w:rPr>
        <w:t>花都、白云、从化、增城、天河、黄埔、南沙、荔湾、越秀、海珠、番禺等11个</w:t>
      </w:r>
      <w:r>
        <w:rPr>
          <w:rFonts w:hint="eastAsia"/>
          <w:lang w:val="en-US" w:eastAsia="zh-CN"/>
        </w:rPr>
        <w:t>所辖</w:t>
      </w:r>
      <w:r>
        <w:rPr>
          <w:rFonts w:hint="eastAsia"/>
        </w:rPr>
        <w:t>行政区及广州空港经济区。</w:t>
      </w:r>
    </w:p>
    <w:p>
      <w:pPr>
        <w:widowControl/>
        <w:snapToGrid w:val="0"/>
        <w:spacing w:line="360" w:lineRule="auto"/>
        <w:jc w:val="left"/>
        <w:textAlignment w:val="baseline"/>
        <w:rPr>
          <w:rStyle w:val="6"/>
          <w:rFonts w:hint="eastAsia" w:ascii="宋体" w:hAnsi="宋体" w:cs="宋体"/>
          <w:b/>
          <w:bCs/>
          <w:color w:val="auto"/>
          <w:szCs w:val="21"/>
          <w:highlight w:val="none"/>
        </w:rPr>
      </w:pPr>
      <w:r>
        <w:rPr>
          <w:rStyle w:val="6"/>
          <w:rFonts w:hint="eastAsia" w:ascii="宋体" w:hAnsi="宋体" w:eastAsia="宋体" w:cs="宋体"/>
          <w:b/>
          <w:bCs/>
          <w:color w:val="auto"/>
          <w:szCs w:val="21"/>
          <w:highlight w:val="none"/>
          <w:lang w:val="en-US" w:eastAsia="zh-CN"/>
        </w:rPr>
        <w:t>四、</w:t>
      </w:r>
      <w:r>
        <w:rPr>
          <w:rStyle w:val="6"/>
          <w:rFonts w:hint="eastAsia" w:ascii="宋体" w:hAnsi="宋体" w:cs="宋体"/>
          <w:b/>
          <w:bCs/>
          <w:color w:val="auto"/>
          <w:szCs w:val="21"/>
          <w:highlight w:val="none"/>
        </w:rPr>
        <w:t>工作内容</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b/>
          <w:bCs/>
          <w:color w:val="auto"/>
          <w:szCs w:val="21"/>
          <w:highlight w:val="none"/>
        </w:rPr>
      </w:pPr>
      <w:r>
        <w:rPr>
          <w:rStyle w:val="6"/>
          <w:rFonts w:hint="eastAsia" w:ascii="宋体" w:hAnsi="宋体" w:cs="宋体"/>
          <w:b/>
          <w:bCs/>
          <w:color w:val="auto"/>
          <w:szCs w:val="21"/>
          <w:highlight w:val="none"/>
        </w:rPr>
        <w:t>（一）海绵城市建设</w:t>
      </w:r>
      <w:r>
        <w:rPr>
          <w:rStyle w:val="6"/>
          <w:rFonts w:hint="eastAsia" w:ascii="宋体" w:hAnsi="宋体" w:cs="宋体"/>
          <w:b/>
          <w:bCs/>
          <w:color w:val="auto"/>
          <w:szCs w:val="21"/>
          <w:highlight w:val="none"/>
          <w:lang w:val="en-US" w:eastAsia="zh-CN"/>
        </w:rPr>
        <w:t>日常</w:t>
      </w:r>
      <w:r>
        <w:rPr>
          <w:rStyle w:val="6"/>
          <w:rFonts w:hint="eastAsia" w:ascii="宋体" w:hAnsi="宋体" w:cs="宋体"/>
          <w:b/>
          <w:bCs/>
          <w:color w:val="auto"/>
          <w:szCs w:val="21"/>
          <w:highlight w:val="none"/>
        </w:rPr>
        <w:t>评估工作</w:t>
      </w:r>
    </w:p>
    <w:p>
      <w:pPr>
        <w:pStyle w:val="7"/>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baseline"/>
        <w:rPr>
          <w:rStyle w:val="6"/>
          <w:rFonts w:hint="eastAsia" w:ascii="宋体" w:hAnsi="宋体" w:cs="宋体"/>
          <w:b/>
          <w:color w:val="auto"/>
          <w:szCs w:val="21"/>
          <w:highlight w:val="none"/>
        </w:rPr>
      </w:pPr>
      <w:r>
        <w:rPr>
          <w:rStyle w:val="6"/>
          <w:rFonts w:hint="eastAsia" w:ascii="宋体" w:hAnsi="宋体" w:cs="宋体"/>
          <w:b/>
          <w:color w:val="auto"/>
          <w:szCs w:val="21"/>
          <w:highlight w:val="none"/>
        </w:rPr>
        <w:t>海绵城市建设项目“回头看”</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default" w:ascii="宋体" w:hAnsi="宋体" w:cs="宋体"/>
          <w:color w:val="auto"/>
          <w:szCs w:val="21"/>
          <w:highlight w:val="none"/>
          <w:lang w:val="en-US" w:eastAsia="zh-CN"/>
        </w:rPr>
      </w:pPr>
      <w:r>
        <w:rPr>
          <w:rStyle w:val="6"/>
          <w:rFonts w:hint="eastAsia" w:ascii="宋体" w:hAnsi="宋体" w:cs="宋体"/>
          <w:color w:val="auto"/>
          <w:szCs w:val="21"/>
          <w:highlight w:val="none"/>
          <w:lang w:val="en-US" w:eastAsia="zh-CN"/>
        </w:rPr>
        <w:t>（1）复</w:t>
      </w:r>
      <w:r>
        <w:rPr>
          <w:rStyle w:val="6"/>
          <w:rFonts w:hint="eastAsia" w:ascii="宋体" w:hAnsi="宋体" w:cs="宋体"/>
          <w:color w:val="auto"/>
          <w:szCs w:val="21"/>
          <w:highlight w:val="none"/>
        </w:rPr>
        <w:t>查各区海绵城市建设的项目（以广州市海绵城市建设2020年项目库为基准，约665个项目，至2021年约为1000个项目，抽查率约20%）</w:t>
      </w:r>
      <w:r>
        <w:rPr>
          <w:rStyle w:val="6"/>
          <w:rFonts w:hint="eastAsia" w:ascii="宋体" w:hAnsi="宋体" w:cs="宋体"/>
          <w:color w:val="auto"/>
          <w:szCs w:val="21"/>
          <w:highlight w:val="none"/>
          <w:lang w:eastAsia="zh-CN"/>
        </w:rPr>
        <w:t>，</w:t>
      </w:r>
      <w:r>
        <w:rPr>
          <w:rStyle w:val="6"/>
          <w:rFonts w:hint="eastAsia" w:ascii="宋体" w:hAnsi="宋体" w:cs="宋体"/>
          <w:color w:val="auto"/>
          <w:szCs w:val="21"/>
          <w:highlight w:val="none"/>
        </w:rPr>
        <w:t>分不同审批流程阶段开展材料审核，同时结合现场调研开展</w:t>
      </w:r>
      <w:r>
        <w:rPr>
          <w:rStyle w:val="6"/>
          <w:rFonts w:hint="eastAsia" w:ascii="宋体" w:hAnsi="宋体" w:cs="宋体"/>
          <w:color w:val="auto"/>
          <w:szCs w:val="21"/>
          <w:highlight w:val="none"/>
          <w:lang w:val="en-US" w:eastAsia="zh-CN"/>
        </w:rPr>
        <w:t>复评</w:t>
      </w:r>
      <w:r>
        <w:rPr>
          <w:rStyle w:val="6"/>
          <w:rFonts w:hint="eastAsia" w:ascii="宋体" w:hAnsi="宋体" w:cs="宋体"/>
          <w:color w:val="auto"/>
          <w:szCs w:val="21"/>
          <w:highlight w:val="none"/>
        </w:rPr>
        <w:t>工作</w:t>
      </w:r>
      <w:r>
        <w:rPr>
          <w:rStyle w:val="6"/>
          <w:rFonts w:hint="eastAsia" w:ascii="宋体" w:hAnsi="宋体" w:cs="宋体"/>
          <w:color w:val="auto"/>
          <w:szCs w:val="21"/>
          <w:highlight w:val="none"/>
          <w:lang w:val="en-US" w:eastAsia="zh-CN"/>
        </w:rPr>
        <w:t>。</w:t>
      </w:r>
      <w:r>
        <w:rPr>
          <w:rStyle w:val="6"/>
          <w:rFonts w:hint="eastAsia" w:ascii="宋体" w:hAnsi="宋体" w:cs="宋体"/>
          <w:color w:val="auto"/>
          <w:szCs w:val="21"/>
          <w:highlight w:val="none"/>
          <w:lang w:val="en-US" w:eastAsia="zh-CN"/>
        </w:rPr>
        <w:t>2022年复核各区（含广州空港委）2020、2021年自评估报告，形成各区（含广州空港委）海绵城市建设成效“回头看”报告；2023年复核各区（含广州空港委）2022年自评估报告，形成各区（含广州空港委）海绵城市建设成效“回头看”报告；2024年复核各区（含广州空港委）2023年自评估报告，形成各区（含广州空港委）海绵城市建设成效“回头看”报告。</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lang w:val="en-US" w:eastAsia="zh-CN"/>
        </w:rPr>
      </w:pPr>
      <w:r>
        <w:rPr>
          <w:rStyle w:val="6"/>
          <w:rFonts w:hint="eastAsia" w:ascii="宋体" w:hAnsi="宋体" w:cs="宋体"/>
          <w:color w:val="auto"/>
          <w:szCs w:val="21"/>
          <w:highlight w:val="none"/>
          <w:lang w:val="en-US" w:eastAsia="zh-CN"/>
        </w:rPr>
        <w:t>（2）2022年复核广州市2020、2021年自评估报告，形成广州市海绵城市建设成效“回头看”报告。</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lang w:val="en-US" w:eastAsia="zh-CN"/>
        </w:rPr>
        <w:t>（3）以上“回头看”复评工作可</w:t>
      </w:r>
      <w:r>
        <w:rPr>
          <w:rStyle w:val="6"/>
          <w:rFonts w:hint="eastAsia" w:ascii="宋体" w:hAnsi="宋体" w:cs="宋体"/>
          <w:color w:val="auto"/>
          <w:szCs w:val="21"/>
          <w:highlight w:val="none"/>
        </w:rPr>
        <w:t>采用材料审核、现场调研</w:t>
      </w:r>
      <w:r>
        <w:rPr>
          <w:rStyle w:val="6"/>
          <w:rFonts w:hint="eastAsia" w:ascii="宋体" w:hAnsi="宋体" w:cs="宋体"/>
          <w:color w:val="auto"/>
          <w:szCs w:val="21"/>
          <w:highlight w:val="none"/>
          <w:lang w:eastAsia="zh-CN"/>
        </w:rPr>
        <w:t>、</w:t>
      </w:r>
      <w:r>
        <w:rPr>
          <w:rStyle w:val="6"/>
          <w:rFonts w:hint="eastAsia" w:ascii="宋体" w:hAnsi="宋体" w:cs="宋体"/>
          <w:color w:val="auto"/>
          <w:szCs w:val="21"/>
          <w:highlight w:val="none"/>
        </w:rPr>
        <w:t>监测评估、模型验证</w:t>
      </w:r>
      <w:r>
        <w:rPr>
          <w:rStyle w:val="6"/>
          <w:rFonts w:hint="eastAsia" w:ascii="宋体" w:hAnsi="宋体" w:cs="宋体"/>
          <w:color w:val="auto"/>
          <w:szCs w:val="21"/>
          <w:highlight w:val="none"/>
          <w:lang w:val="en-US" w:eastAsia="zh-CN"/>
        </w:rPr>
        <w:t>等方式进行，结论要符合</w:t>
      </w:r>
      <w:r>
        <w:rPr>
          <w:rStyle w:val="6"/>
          <w:rFonts w:hint="eastAsia" w:ascii="宋体" w:hAnsi="宋体" w:cs="宋体"/>
          <w:color w:val="auto"/>
          <w:szCs w:val="21"/>
          <w:highlight w:val="none"/>
        </w:rPr>
        <w:t>《海绵城市建设评价标准》（GB/T 51345-2018）</w:t>
      </w:r>
      <w:r>
        <w:rPr>
          <w:rStyle w:val="6"/>
          <w:rFonts w:hint="eastAsia" w:ascii="宋体" w:hAnsi="宋体" w:cs="宋体"/>
          <w:color w:val="auto"/>
          <w:szCs w:val="21"/>
          <w:highlight w:val="none"/>
          <w:lang w:val="en-US" w:eastAsia="zh-CN"/>
        </w:rPr>
        <w:t>要求</w:t>
      </w:r>
      <w:r>
        <w:rPr>
          <w:rStyle w:val="6"/>
          <w:rFonts w:hint="eastAsia" w:ascii="宋体" w:hAnsi="宋体" w:cs="宋体"/>
          <w:color w:val="auto"/>
          <w:szCs w:val="21"/>
          <w:highlight w:val="none"/>
        </w:rPr>
        <w:t>。</w:t>
      </w:r>
    </w:p>
    <w:p>
      <w:pPr>
        <w:pStyle w:val="7"/>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baseline"/>
        <w:rPr>
          <w:rStyle w:val="6"/>
          <w:rFonts w:hint="eastAsia" w:ascii="宋体" w:hAnsi="宋体" w:cs="宋体"/>
          <w:b/>
          <w:color w:val="auto"/>
          <w:szCs w:val="21"/>
          <w:highlight w:val="none"/>
        </w:rPr>
      </w:pPr>
      <w:r>
        <w:rPr>
          <w:rStyle w:val="6"/>
          <w:rFonts w:hint="eastAsia" w:ascii="宋体" w:hAnsi="宋体" w:cs="宋体"/>
          <w:b/>
          <w:color w:val="auto"/>
          <w:szCs w:val="21"/>
          <w:highlight w:val="none"/>
        </w:rPr>
        <w:t>海绵城市建设年度评估工作</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lang w:eastAsia="zh-CN"/>
        </w:rPr>
        <w:t>（</w:t>
      </w:r>
      <w:r>
        <w:rPr>
          <w:rStyle w:val="6"/>
          <w:rFonts w:hint="eastAsia" w:ascii="宋体" w:hAnsi="宋体" w:cs="宋体"/>
          <w:color w:val="auto"/>
          <w:szCs w:val="21"/>
          <w:highlight w:val="none"/>
        </w:rPr>
        <w:t>1</w:t>
      </w:r>
      <w:r>
        <w:rPr>
          <w:rStyle w:val="6"/>
          <w:rFonts w:hint="eastAsia" w:ascii="宋体" w:hAnsi="宋体" w:cs="宋体"/>
          <w:color w:val="auto"/>
          <w:szCs w:val="21"/>
          <w:highlight w:val="none"/>
          <w:lang w:eastAsia="zh-CN"/>
        </w:rPr>
        <w:t>）</w:t>
      </w:r>
      <w:r>
        <w:rPr>
          <w:rStyle w:val="6"/>
          <w:rFonts w:hint="eastAsia" w:ascii="宋体" w:hAnsi="宋体" w:cs="宋体"/>
          <w:color w:val="auto"/>
          <w:szCs w:val="21"/>
          <w:highlight w:val="none"/>
        </w:rPr>
        <w:t>月</w:t>
      </w:r>
      <w:r>
        <w:rPr>
          <w:rStyle w:val="6"/>
          <w:rFonts w:hint="eastAsia" w:ascii="宋体" w:hAnsi="宋体" w:cs="宋体"/>
          <w:color w:val="auto"/>
          <w:szCs w:val="21"/>
          <w:highlight w:val="none"/>
          <w:lang w:eastAsia="zh-CN"/>
        </w:rPr>
        <w:t>、</w:t>
      </w:r>
      <w:r>
        <w:rPr>
          <w:rStyle w:val="6"/>
          <w:rFonts w:hint="eastAsia" w:ascii="宋体" w:hAnsi="宋体" w:cs="宋体"/>
          <w:color w:val="auto"/>
          <w:szCs w:val="21"/>
          <w:highlight w:val="none"/>
          <w:lang w:val="en-US" w:eastAsia="zh-CN"/>
        </w:rPr>
        <w:t>半年</w:t>
      </w:r>
      <w:r>
        <w:rPr>
          <w:rStyle w:val="6"/>
          <w:rFonts w:hint="eastAsia" w:ascii="宋体" w:hAnsi="宋体" w:cs="宋体"/>
          <w:color w:val="auto"/>
          <w:szCs w:val="21"/>
          <w:highlight w:val="none"/>
        </w:rPr>
        <w:t>评估</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以</w:t>
      </w:r>
      <w:r>
        <w:rPr>
          <w:rStyle w:val="6"/>
          <w:rFonts w:hint="eastAsia" w:ascii="宋体" w:hAnsi="宋体" w:cs="宋体"/>
          <w:color w:val="auto"/>
          <w:szCs w:val="21"/>
          <w:highlight w:val="none"/>
          <w:lang w:val="en-US" w:eastAsia="zh-CN"/>
        </w:rPr>
        <w:t>建设</w:t>
      </w:r>
      <w:r>
        <w:rPr>
          <w:rStyle w:val="6"/>
          <w:rFonts w:hint="eastAsia" w:ascii="宋体" w:hAnsi="宋体" w:cs="宋体"/>
          <w:color w:val="auto"/>
          <w:szCs w:val="21"/>
          <w:highlight w:val="none"/>
        </w:rPr>
        <w:t>项目（含在开展前期工作的）为基础，结合系统化方案，采用重点项目必查、各类型项目抽查方式结合，</w:t>
      </w:r>
      <w:r>
        <w:rPr>
          <w:rStyle w:val="6"/>
          <w:rFonts w:hint="eastAsia" w:ascii="宋体" w:hAnsi="宋体" w:cs="宋体"/>
          <w:color w:val="auto"/>
          <w:szCs w:val="21"/>
          <w:highlight w:val="none"/>
          <w:lang w:val="en-US" w:eastAsia="zh-CN"/>
        </w:rPr>
        <w:t>对各区海绵城市建设情况进行评估</w:t>
      </w:r>
      <w:r>
        <w:rPr>
          <w:rStyle w:val="6"/>
          <w:rFonts w:hint="eastAsia" w:ascii="宋体" w:hAnsi="宋体" w:cs="宋体"/>
          <w:color w:val="auto"/>
          <w:szCs w:val="21"/>
          <w:highlight w:val="none"/>
        </w:rPr>
        <w:t>，形成月评估报告</w:t>
      </w:r>
      <w:r>
        <w:rPr>
          <w:rStyle w:val="6"/>
          <w:rFonts w:hint="eastAsia" w:ascii="宋体" w:hAnsi="宋体" w:cs="宋体"/>
          <w:color w:val="auto"/>
          <w:szCs w:val="21"/>
          <w:highlight w:val="none"/>
          <w:lang w:eastAsia="zh-CN"/>
        </w:rPr>
        <w:t>、</w:t>
      </w:r>
      <w:r>
        <w:rPr>
          <w:rStyle w:val="6"/>
          <w:rFonts w:hint="eastAsia" w:ascii="宋体" w:hAnsi="宋体" w:cs="宋体"/>
          <w:color w:val="auto"/>
          <w:szCs w:val="21"/>
          <w:highlight w:val="none"/>
          <w:lang w:val="en-US" w:eastAsia="zh-CN"/>
        </w:rPr>
        <w:t>半年评估报告</w:t>
      </w:r>
      <w:r>
        <w:rPr>
          <w:rStyle w:val="6"/>
          <w:rFonts w:hint="eastAsia" w:ascii="宋体" w:hAnsi="宋体" w:cs="宋体"/>
          <w:color w:val="auto"/>
          <w:szCs w:val="21"/>
          <w:highlight w:val="none"/>
        </w:rPr>
        <w:t>。</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lang w:eastAsia="zh-CN"/>
        </w:rPr>
        <w:t>（</w:t>
      </w:r>
      <w:r>
        <w:rPr>
          <w:rStyle w:val="6"/>
          <w:rFonts w:hint="eastAsia" w:ascii="宋体" w:hAnsi="宋体" w:cs="宋体"/>
          <w:color w:val="auto"/>
          <w:szCs w:val="21"/>
          <w:highlight w:val="none"/>
        </w:rPr>
        <w:t>2</w:t>
      </w:r>
      <w:r>
        <w:rPr>
          <w:rStyle w:val="6"/>
          <w:rFonts w:hint="eastAsia" w:ascii="宋体" w:hAnsi="宋体" w:cs="宋体"/>
          <w:color w:val="auto"/>
          <w:szCs w:val="21"/>
          <w:highlight w:val="none"/>
          <w:lang w:eastAsia="zh-CN"/>
        </w:rPr>
        <w:t>）</w:t>
      </w:r>
      <w:r>
        <w:rPr>
          <w:rStyle w:val="6"/>
          <w:rFonts w:hint="eastAsia" w:ascii="宋体" w:hAnsi="宋体" w:cs="宋体"/>
          <w:color w:val="auto"/>
          <w:szCs w:val="21"/>
          <w:highlight w:val="none"/>
        </w:rPr>
        <w:t>年终评估</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eastAsia="宋体" w:cs="宋体"/>
          <w:color w:val="auto"/>
          <w:szCs w:val="21"/>
          <w:highlight w:val="none"/>
        </w:rPr>
      </w:pPr>
      <w:r>
        <w:rPr>
          <w:rStyle w:val="6"/>
          <w:rFonts w:hint="eastAsia" w:ascii="宋体" w:hAnsi="宋体" w:eastAsia="宋体" w:cs="宋体"/>
          <w:color w:val="auto"/>
          <w:szCs w:val="21"/>
          <w:highlight w:val="none"/>
        </w:rPr>
        <w:t>于</w:t>
      </w:r>
      <w:r>
        <w:rPr>
          <w:rStyle w:val="6"/>
          <w:rFonts w:hint="eastAsia" w:ascii="宋体" w:hAnsi="宋体" w:eastAsia="宋体" w:cs="宋体"/>
          <w:color w:val="auto"/>
          <w:szCs w:val="21"/>
          <w:highlight w:val="none"/>
          <w:lang w:val="en-US" w:eastAsia="zh-CN"/>
        </w:rPr>
        <w:t>2022</w:t>
      </w:r>
      <w:r>
        <w:rPr>
          <w:rStyle w:val="6"/>
          <w:rFonts w:hint="eastAsia" w:ascii="宋体" w:hAnsi="宋体" w:eastAsia="宋体" w:cs="宋体"/>
          <w:color w:val="auto"/>
          <w:szCs w:val="21"/>
          <w:highlight w:val="none"/>
        </w:rPr>
        <w:t>年12月</w:t>
      </w:r>
      <w:r>
        <w:rPr>
          <w:rStyle w:val="6"/>
          <w:rFonts w:hint="eastAsia" w:ascii="宋体" w:hAnsi="宋体" w:eastAsia="宋体" w:cs="宋体"/>
          <w:color w:val="auto"/>
          <w:szCs w:val="21"/>
          <w:highlight w:val="none"/>
          <w:lang w:val="en-US" w:eastAsia="zh-CN"/>
        </w:rPr>
        <w:t>底前</w:t>
      </w:r>
      <w:r>
        <w:rPr>
          <w:rStyle w:val="6"/>
          <w:rFonts w:hint="eastAsia" w:ascii="宋体" w:hAnsi="宋体" w:eastAsia="宋体" w:cs="宋体"/>
          <w:color w:val="auto"/>
          <w:szCs w:val="21"/>
          <w:highlight w:val="none"/>
        </w:rPr>
        <w:t>对各区海绵城市建设工作进行综合评估，</w:t>
      </w:r>
      <w:r>
        <w:rPr>
          <w:rStyle w:val="6"/>
          <w:rFonts w:hint="eastAsia" w:ascii="宋体" w:hAnsi="宋体" w:eastAsia="宋体" w:cs="宋体"/>
          <w:color w:val="auto"/>
          <w:szCs w:val="21"/>
          <w:highlight w:val="none"/>
          <w:lang w:val="en-US" w:eastAsia="zh-CN"/>
        </w:rPr>
        <w:t>形成2022年年终评估报告；于2023年12月底前（以国家、省、市布置评估的时间为准）对各区海绵城市建设工作进行综合评估，形成2023年年终评估报告；于2024年12月底前（以国家、省、市布置评估的时间为准）对各区海绵城市建设工作进行综合评估，形成2024年年终评估报告。主要工作</w:t>
      </w:r>
      <w:r>
        <w:rPr>
          <w:rStyle w:val="6"/>
          <w:rFonts w:hint="eastAsia" w:ascii="宋体" w:hAnsi="宋体" w:eastAsia="宋体" w:cs="宋体"/>
          <w:color w:val="auto"/>
          <w:szCs w:val="21"/>
          <w:highlight w:val="none"/>
        </w:rPr>
        <w:t>内容</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lang w:val="en-US" w:eastAsia="zh-CN"/>
        </w:rPr>
        <w:t>包含但不限于</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rPr>
        <w:t>：</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lang w:val="en-US" w:eastAsia="zh-CN"/>
        </w:rPr>
      </w:pPr>
      <w:bookmarkStart w:id="0" w:name="_GoBack"/>
      <w:r>
        <w:rPr>
          <w:rStyle w:val="6"/>
          <w:rFonts w:hint="eastAsia" w:ascii="宋体" w:hAnsi="宋体" w:cs="宋体"/>
          <w:color w:val="auto"/>
          <w:szCs w:val="21"/>
          <w:highlight w:val="none"/>
          <w:lang w:val="en-US" w:eastAsia="zh-CN"/>
        </w:rPr>
        <w:t>1）可采用材料审核、现场调研、监测评估、模型验证等方式，综合评估各区海绵城市建设完成情况；</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lang w:val="en-US" w:eastAsia="zh-CN"/>
        </w:rPr>
      </w:pPr>
      <w:r>
        <w:rPr>
          <w:rStyle w:val="6"/>
          <w:rFonts w:hint="eastAsia" w:ascii="宋体" w:hAnsi="宋体" w:cs="宋体"/>
          <w:color w:val="auto"/>
          <w:szCs w:val="21"/>
          <w:highlight w:val="none"/>
          <w:lang w:val="en-US" w:eastAsia="zh-CN"/>
        </w:rPr>
        <w:t>2）完成各区年度建设海绵城市建设目标完成情况分析报告，尤其是系统化方案的实施情况的分析评估；</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lang w:val="en-US" w:eastAsia="zh-CN"/>
        </w:rPr>
      </w:pPr>
      <w:r>
        <w:rPr>
          <w:rStyle w:val="6"/>
          <w:rFonts w:hint="eastAsia" w:ascii="宋体" w:hAnsi="宋体" w:cs="宋体"/>
          <w:color w:val="auto"/>
          <w:szCs w:val="21"/>
          <w:highlight w:val="none"/>
          <w:lang w:val="en-US" w:eastAsia="zh-CN"/>
        </w:rPr>
        <w:t>3）汇总分析广州市海绵城市建设年度总体目标完成情况、存在问题并提出下一年度的海绵城市建设建议。</w:t>
      </w:r>
      <w:bookmarkEnd w:id="0"/>
    </w:p>
    <w:p>
      <w:pPr>
        <w:pStyle w:val="7"/>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b/>
          <w:bCs/>
          <w:color w:val="auto"/>
          <w:szCs w:val="21"/>
          <w:highlight w:val="none"/>
        </w:rPr>
      </w:pPr>
      <w:r>
        <w:rPr>
          <w:rStyle w:val="6"/>
          <w:rFonts w:hint="eastAsia" w:ascii="宋体" w:hAnsi="宋体" w:cs="宋体"/>
          <w:b/>
          <w:bCs/>
          <w:color w:val="auto"/>
          <w:szCs w:val="21"/>
          <w:highlight w:val="none"/>
        </w:rPr>
        <w:t>年度系统化全域推进海绵城市建设示范工作评估</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eastAsia="宋体" w:cs="宋体"/>
          <w:b w:val="0"/>
          <w:bCs w:val="0"/>
          <w:color w:val="auto"/>
          <w:szCs w:val="21"/>
          <w:highlight w:val="none"/>
          <w:lang w:eastAsia="zh-CN"/>
        </w:rPr>
      </w:pPr>
      <w:r>
        <w:rPr>
          <w:rStyle w:val="6"/>
          <w:rFonts w:hint="eastAsia" w:ascii="宋体" w:hAnsi="宋体" w:cs="宋体"/>
          <w:b w:val="0"/>
          <w:bCs w:val="0"/>
          <w:color w:val="auto"/>
          <w:szCs w:val="21"/>
          <w:highlight w:val="none"/>
          <w:lang w:eastAsia="zh-CN"/>
        </w:rPr>
        <w:t>按照系统化全域推进海绵城市建设示范工作要求，确保完成国家、省、市示范考核评估任务（国家、省、市考核评估时间以实际通知为准），包括但不限于以下</w:t>
      </w:r>
      <w:r>
        <w:rPr>
          <w:rStyle w:val="6"/>
          <w:rFonts w:hint="eastAsia" w:ascii="宋体" w:hAnsi="宋体" w:cs="宋体"/>
          <w:b w:val="0"/>
          <w:bCs w:val="0"/>
          <w:color w:val="auto"/>
          <w:szCs w:val="21"/>
          <w:highlight w:val="none"/>
          <w:lang w:val="en-US" w:eastAsia="zh-CN"/>
        </w:rPr>
        <w:t>五</w:t>
      </w:r>
      <w:r>
        <w:rPr>
          <w:rStyle w:val="6"/>
          <w:rFonts w:hint="eastAsia" w:ascii="宋体" w:hAnsi="宋体" w:cs="宋体"/>
          <w:b w:val="0"/>
          <w:bCs w:val="0"/>
          <w:color w:val="auto"/>
          <w:szCs w:val="21"/>
          <w:highlight w:val="none"/>
          <w:lang w:eastAsia="zh-CN"/>
        </w:rPr>
        <w:t>项工作：</w:t>
      </w:r>
    </w:p>
    <w:p>
      <w:pPr>
        <w:pStyle w:val="7"/>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baseline"/>
        <w:rPr>
          <w:rStyle w:val="6"/>
          <w:rFonts w:hint="eastAsia" w:ascii="宋体" w:hAnsi="宋体" w:cs="宋体"/>
          <w:b/>
          <w:bCs/>
          <w:color w:val="auto"/>
          <w:szCs w:val="21"/>
          <w:highlight w:val="none"/>
        </w:rPr>
      </w:pPr>
      <w:r>
        <w:rPr>
          <w:rStyle w:val="6"/>
          <w:rFonts w:hint="eastAsia" w:ascii="宋体" w:hAnsi="宋体" w:cs="宋体"/>
          <w:b/>
          <w:bCs/>
          <w:color w:val="auto"/>
          <w:szCs w:val="21"/>
          <w:highlight w:val="none"/>
          <w:lang w:eastAsia="zh-CN"/>
        </w:rPr>
        <w:t>示范</w:t>
      </w:r>
      <w:r>
        <w:rPr>
          <w:rStyle w:val="6"/>
          <w:rFonts w:hint="eastAsia" w:ascii="宋体" w:hAnsi="宋体" w:cs="宋体"/>
          <w:b/>
          <w:bCs/>
          <w:color w:val="auto"/>
          <w:szCs w:val="21"/>
          <w:highlight w:val="none"/>
        </w:rPr>
        <w:t>城市</w:t>
      </w:r>
      <w:r>
        <w:rPr>
          <w:rStyle w:val="6"/>
          <w:rFonts w:hint="eastAsia" w:ascii="宋体" w:hAnsi="宋体" w:cs="宋体"/>
          <w:b/>
          <w:bCs/>
          <w:color w:val="auto"/>
          <w:szCs w:val="21"/>
          <w:highlight w:val="none"/>
          <w:lang w:val="en-US" w:eastAsia="zh-CN"/>
        </w:rPr>
        <w:t>建设</w:t>
      </w:r>
      <w:r>
        <w:rPr>
          <w:rStyle w:val="6"/>
          <w:rFonts w:hint="eastAsia" w:ascii="宋体" w:hAnsi="宋体" w:cs="宋体"/>
          <w:b/>
          <w:bCs/>
          <w:color w:val="auto"/>
          <w:szCs w:val="21"/>
          <w:highlight w:val="none"/>
        </w:rPr>
        <w:t>的日常跟踪及监督检查评估</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根据</w:t>
      </w:r>
      <w:r>
        <w:rPr>
          <w:rStyle w:val="6"/>
          <w:rFonts w:hint="eastAsia" w:ascii="宋体" w:hAnsi="宋体" w:cs="宋体"/>
          <w:color w:val="auto"/>
          <w:szCs w:val="21"/>
          <w:highlight w:val="none"/>
          <w:lang w:val="en-US" w:eastAsia="zh-CN"/>
        </w:rPr>
        <w:t>有关</w:t>
      </w:r>
      <w:r>
        <w:rPr>
          <w:rStyle w:val="6"/>
          <w:rFonts w:hint="eastAsia" w:ascii="宋体" w:hAnsi="宋体" w:cs="宋体"/>
          <w:color w:val="auto"/>
          <w:szCs w:val="21"/>
          <w:highlight w:val="none"/>
        </w:rPr>
        <w:t>要求，开展全市</w:t>
      </w:r>
      <w:r>
        <w:rPr>
          <w:rStyle w:val="6"/>
          <w:rFonts w:hint="eastAsia" w:ascii="宋体" w:hAnsi="宋体" w:cs="宋体"/>
          <w:color w:val="auto"/>
          <w:szCs w:val="21"/>
          <w:highlight w:val="none"/>
          <w:lang w:val="en-US" w:eastAsia="zh-CN"/>
        </w:rPr>
        <w:t>海绵城市示范建设评估工作</w:t>
      </w:r>
      <w:r>
        <w:rPr>
          <w:rStyle w:val="6"/>
          <w:rFonts w:hint="eastAsia" w:ascii="宋体" w:hAnsi="宋体" w:cs="宋体"/>
          <w:color w:val="auto"/>
          <w:szCs w:val="21"/>
          <w:highlight w:val="none"/>
        </w:rPr>
        <w:t>。抽查及评估对象为全市11个区（含空港委）2017</w:t>
      </w:r>
      <w:r>
        <w:rPr>
          <w:rStyle w:val="6"/>
          <w:rFonts w:hint="eastAsia" w:ascii="宋体" w:hAnsi="宋体" w:cs="宋体"/>
          <w:color w:val="auto"/>
          <w:szCs w:val="21"/>
          <w:highlight w:val="none"/>
          <w:lang w:val="en-US" w:eastAsia="zh-CN"/>
        </w:rPr>
        <w:t>以来</w:t>
      </w:r>
      <w:r>
        <w:rPr>
          <w:rStyle w:val="6"/>
          <w:rFonts w:hint="eastAsia" w:ascii="宋体" w:hAnsi="宋体" w:cs="宋体"/>
          <w:color w:val="auto"/>
          <w:szCs w:val="21"/>
          <w:highlight w:val="none"/>
        </w:rPr>
        <w:t>拟建、在建、已建项目，主要包括公园绿地、建筑小区、道路及水务项目。抽查及评估内容包括项目方案设计各阶段（项建、可行性研究报告、初步设计及施工图），方案审查机构、行业主管部门、各项目建设单位对于各设计方案的审查文件及批复要求；项目实施过程中，项目建设单位及质检部门对实施过程中的质量监管；竣工验收阶段根据联合验收分工安排抽查，重点查看海绵设施是否符合相关规范要求，是否达到设计年径流总量控制率等目标，后期养护阶段监督各行业主管部门和各区海绵办的维护工作。</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lang w:eastAsia="zh-CN"/>
        </w:rPr>
        <w:t>根据采购人</w:t>
      </w:r>
      <w:r>
        <w:rPr>
          <w:rStyle w:val="6"/>
          <w:rFonts w:hint="eastAsia" w:ascii="宋体" w:hAnsi="宋体" w:cs="宋体"/>
          <w:color w:val="auto"/>
          <w:szCs w:val="21"/>
          <w:highlight w:val="none"/>
        </w:rPr>
        <w:t>工作要求，配合对全市11个区（含空港委）海绵城市建设情况进行通报，并对存在问题的项目整改情况进行追踪、指导。</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配合省级住房城乡建设、水利、财政部门对示范城市的日常跟踪及监督检查机制，并</w:t>
      </w:r>
      <w:r>
        <w:rPr>
          <w:rStyle w:val="6"/>
          <w:rFonts w:hint="eastAsia" w:ascii="宋体" w:hAnsi="宋体" w:cs="宋体"/>
          <w:color w:val="auto"/>
          <w:szCs w:val="21"/>
          <w:highlight w:val="none"/>
          <w:lang w:val="en-US" w:eastAsia="zh-CN"/>
        </w:rPr>
        <w:t>协助</w:t>
      </w:r>
      <w:r>
        <w:rPr>
          <w:rStyle w:val="6"/>
          <w:rFonts w:hint="eastAsia" w:ascii="宋体" w:hAnsi="宋体" w:cs="宋体"/>
          <w:color w:val="auto"/>
          <w:szCs w:val="21"/>
          <w:highlight w:val="none"/>
        </w:rPr>
        <w:t>将典型示范城市的任务落实、存在问题及经验做法等报住房城乡建设部、水利部、财政部（原则上每个每年不少于1期）。</w:t>
      </w:r>
    </w:p>
    <w:p>
      <w:pPr>
        <w:pStyle w:val="7"/>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baseline"/>
        <w:rPr>
          <w:rStyle w:val="6"/>
          <w:rFonts w:hint="eastAsia" w:ascii="宋体" w:hAnsi="宋体" w:cs="宋体"/>
          <w:b/>
          <w:bCs/>
          <w:color w:val="auto"/>
          <w:szCs w:val="21"/>
          <w:highlight w:val="none"/>
        </w:rPr>
      </w:pPr>
      <w:r>
        <w:rPr>
          <w:rStyle w:val="6"/>
          <w:rFonts w:hint="eastAsia" w:ascii="宋体" w:hAnsi="宋体" w:cs="宋体"/>
          <w:b/>
          <w:bCs/>
          <w:color w:val="auto"/>
          <w:szCs w:val="21"/>
          <w:highlight w:val="none"/>
        </w:rPr>
        <w:t>指导</w:t>
      </w:r>
      <w:r>
        <w:rPr>
          <w:rStyle w:val="6"/>
          <w:rFonts w:hint="eastAsia" w:ascii="宋体" w:hAnsi="宋体" w:eastAsia="宋体" w:cs="宋体"/>
          <w:b/>
          <w:bCs/>
          <w:color w:val="auto"/>
          <w:szCs w:val="21"/>
          <w:highlight w:val="none"/>
          <w:lang w:eastAsia="zh-CN"/>
        </w:rPr>
        <w:t>各区</w:t>
      </w:r>
      <w:r>
        <w:rPr>
          <w:rStyle w:val="6"/>
          <w:rFonts w:hint="eastAsia" w:ascii="宋体" w:hAnsi="宋体" w:cs="宋体"/>
          <w:b/>
          <w:bCs/>
          <w:color w:val="auto"/>
          <w:szCs w:val="21"/>
          <w:highlight w:val="none"/>
        </w:rPr>
        <w:t>建设实施方案、系统化实施方案编制及评估服务</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根据《广州市海绵城市建设实施方案（2021-2025）》和系统化全域推进海绵城市建设示范工作的要求，指导并评估各区完成区</w:t>
      </w:r>
      <w:r>
        <w:rPr>
          <w:rStyle w:val="6"/>
          <w:rFonts w:hint="eastAsia" w:ascii="宋体" w:hAnsi="宋体" w:cs="宋体"/>
          <w:color w:val="auto"/>
          <w:szCs w:val="21"/>
          <w:highlight w:val="none"/>
          <w:lang w:val="en-US" w:eastAsia="zh-CN"/>
        </w:rPr>
        <w:t>级</w:t>
      </w:r>
      <w:r>
        <w:rPr>
          <w:rStyle w:val="6"/>
          <w:rFonts w:hint="eastAsia" w:ascii="宋体" w:hAnsi="宋体" w:cs="宋体"/>
          <w:color w:val="auto"/>
          <w:szCs w:val="21"/>
          <w:highlight w:val="none"/>
        </w:rPr>
        <w:t>建设实施方案及系统化方案的编制。</w:t>
      </w:r>
    </w:p>
    <w:p>
      <w:pPr>
        <w:pStyle w:val="7"/>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baseline"/>
        <w:rPr>
          <w:rStyle w:val="6"/>
          <w:rFonts w:hint="eastAsia" w:ascii="宋体" w:hAnsi="宋体" w:cs="宋体"/>
          <w:b/>
          <w:bCs/>
          <w:color w:val="auto"/>
          <w:szCs w:val="21"/>
          <w:highlight w:val="none"/>
        </w:rPr>
      </w:pPr>
      <w:r>
        <w:rPr>
          <w:rStyle w:val="6"/>
          <w:rFonts w:hint="eastAsia" w:ascii="宋体" w:hAnsi="宋体" w:cs="宋体"/>
          <w:b/>
          <w:bCs/>
          <w:color w:val="auto"/>
          <w:szCs w:val="21"/>
          <w:highlight w:val="none"/>
        </w:rPr>
        <w:t>行业典型案例汇集</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定期收集、更新国内外发布的各类海绵城市建设经典案例，汇集成册。</w:t>
      </w:r>
    </w:p>
    <w:p>
      <w:pPr>
        <w:pStyle w:val="7"/>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baseline"/>
        <w:rPr>
          <w:rStyle w:val="6"/>
          <w:rFonts w:hint="eastAsia" w:ascii="宋体" w:hAnsi="宋体" w:cs="宋体"/>
          <w:b/>
          <w:bCs/>
          <w:color w:val="auto"/>
          <w:szCs w:val="21"/>
          <w:highlight w:val="none"/>
        </w:rPr>
      </w:pPr>
      <w:r>
        <w:rPr>
          <w:rStyle w:val="6"/>
          <w:rFonts w:hint="eastAsia" w:ascii="宋体" w:hAnsi="宋体" w:cs="宋体"/>
          <w:b/>
          <w:bCs/>
          <w:color w:val="auto"/>
          <w:szCs w:val="21"/>
          <w:highlight w:val="none"/>
          <w:lang w:eastAsia="zh-CN"/>
        </w:rPr>
        <w:t>协助</w:t>
      </w:r>
      <w:r>
        <w:rPr>
          <w:rStyle w:val="6"/>
          <w:rFonts w:hint="eastAsia" w:ascii="宋体" w:hAnsi="宋体" w:eastAsia="宋体" w:cs="宋体"/>
          <w:b/>
          <w:bCs/>
          <w:color w:val="auto"/>
          <w:szCs w:val="21"/>
          <w:highlight w:val="none"/>
          <w:lang w:eastAsia="zh-CN"/>
        </w:rPr>
        <w:t>推动</w:t>
      </w:r>
      <w:r>
        <w:rPr>
          <w:rStyle w:val="6"/>
          <w:rFonts w:hint="eastAsia" w:ascii="宋体" w:hAnsi="宋体" w:cs="宋体"/>
          <w:b/>
          <w:bCs/>
          <w:color w:val="auto"/>
          <w:szCs w:val="21"/>
          <w:highlight w:val="none"/>
        </w:rPr>
        <w:t>海绵城市</w:t>
      </w:r>
      <w:r>
        <w:rPr>
          <w:rStyle w:val="6"/>
          <w:rFonts w:hint="eastAsia" w:ascii="宋体" w:hAnsi="宋体" w:cs="宋体"/>
          <w:b/>
          <w:bCs/>
          <w:color w:val="auto"/>
          <w:szCs w:val="21"/>
          <w:highlight w:val="none"/>
          <w:lang w:val="en-US" w:eastAsia="zh-CN"/>
        </w:rPr>
        <w:t>建设项目</w:t>
      </w:r>
      <w:r>
        <w:rPr>
          <w:rStyle w:val="6"/>
          <w:rFonts w:hint="eastAsia" w:ascii="宋体" w:hAnsi="宋体" w:cs="宋体"/>
          <w:b/>
          <w:bCs/>
          <w:color w:val="auto"/>
          <w:szCs w:val="21"/>
          <w:highlight w:val="none"/>
        </w:rPr>
        <w:t>全流程管控</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lang w:eastAsia="zh-CN"/>
        </w:rPr>
        <w:t>协助推动</w:t>
      </w:r>
      <w:r>
        <w:rPr>
          <w:rStyle w:val="6"/>
          <w:rFonts w:hint="eastAsia" w:ascii="宋体" w:hAnsi="宋体" w:cs="宋体"/>
          <w:color w:val="auto"/>
          <w:szCs w:val="21"/>
          <w:highlight w:val="none"/>
        </w:rPr>
        <w:t>海绵城市</w:t>
      </w:r>
      <w:r>
        <w:rPr>
          <w:rStyle w:val="6"/>
          <w:rFonts w:hint="eastAsia" w:ascii="宋体" w:hAnsi="宋体" w:cs="宋体"/>
          <w:color w:val="auto"/>
          <w:szCs w:val="21"/>
          <w:highlight w:val="none"/>
          <w:lang w:val="en-US" w:eastAsia="zh-CN"/>
        </w:rPr>
        <w:t>建设项目</w:t>
      </w:r>
      <w:r>
        <w:rPr>
          <w:rStyle w:val="6"/>
          <w:rFonts w:hint="eastAsia" w:ascii="宋体" w:hAnsi="宋体" w:cs="宋体"/>
          <w:color w:val="auto"/>
          <w:szCs w:val="21"/>
          <w:highlight w:val="none"/>
        </w:rPr>
        <w:t>全流程管控，梳理存在问题，提出解决办法，加强各环节管控。</w:t>
      </w:r>
    </w:p>
    <w:p>
      <w:pPr>
        <w:pStyle w:val="7"/>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422" w:firstLineChars="200"/>
        <w:textAlignment w:val="baseline"/>
        <w:rPr>
          <w:rStyle w:val="6"/>
          <w:rFonts w:hint="eastAsia" w:ascii="宋体" w:hAnsi="宋体" w:eastAsia="宋体" w:cs="宋体"/>
          <w:b/>
          <w:bCs/>
          <w:color w:val="auto"/>
          <w:szCs w:val="21"/>
          <w:highlight w:val="none"/>
          <w:lang w:val="en-US" w:eastAsia="zh-CN"/>
        </w:rPr>
      </w:pPr>
      <w:r>
        <w:rPr>
          <w:rStyle w:val="6"/>
          <w:rFonts w:hint="eastAsia" w:ascii="宋体" w:hAnsi="宋体" w:eastAsia="宋体" w:cs="宋体"/>
          <w:b/>
          <w:bCs/>
          <w:color w:val="auto"/>
          <w:szCs w:val="21"/>
          <w:highlight w:val="none"/>
          <w:lang w:val="en-US" w:eastAsia="zh-CN"/>
        </w:rPr>
        <w:t>系统化全域推进海绵城市建设示范评估报告</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ascii="宋体" w:hAnsi="宋体" w:eastAsia="宋体" w:cs="宋体"/>
          <w:color w:val="auto"/>
          <w:szCs w:val="21"/>
          <w:highlight w:val="none"/>
          <w:lang w:val="en-US" w:eastAsia="zh-CN"/>
        </w:rPr>
      </w:pPr>
      <w:r>
        <w:rPr>
          <w:rStyle w:val="6"/>
          <w:rFonts w:hint="eastAsia" w:ascii="宋体" w:hAnsi="宋体" w:eastAsia="宋体" w:cs="宋体"/>
          <w:color w:val="auto"/>
          <w:szCs w:val="21"/>
          <w:highlight w:val="none"/>
          <w:lang w:val="en-US" w:eastAsia="zh-CN"/>
        </w:rPr>
        <w:t>编制系统化全域推进海绵城市建设示范评估报告，满足国家、省、市的工作要求。</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rFonts w:hint="eastAsia"/>
          <w:b/>
          <w:bCs/>
          <w:color w:val="auto"/>
          <w:highlight w:val="none"/>
        </w:rPr>
      </w:pPr>
      <w:r>
        <w:rPr>
          <w:rStyle w:val="6"/>
          <w:rFonts w:hint="eastAsia"/>
          <w:b/>
          <w:bCs/>
          <w:color w:val="auto"/>
          <w:highlight w:val="none"/>
        </w:rPr>
        <w:t>（三）日常技术支撑服务</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安排具有海绵城市建设相关经验的专业人员（主要工作内容</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包括但不限于</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w:t>
      </w:r>
    </w:p>
    <w:p>
      <w:pPr>
        <w:pStyle w:val="7"/>
        <w:keepNext w:val="0"/>
        <w:keepLines w:val="0"/>
        <w:pageBreakBefore w:val="0"/>
        <w:widowControl/>
        <w:numPr>
          <w:ilvl w:val="0"/>
          <w:numId w:val="4"/>
        </w:numPr>
        <w:kinsoku/>
        <w:wordWrap/>
        <w:overflowPunct/>
        <w:topLinePunct w:val="0"/>
        <w:autoSpaceDE/>
        <w:autoSpaceDN/>
        <w:bidi w:val="0"/>
        <w:adjustRightInd/>
        <w:snapToGrid w:val="0"/>
        <w:spacing w:line="360" w:lineRule="auto"/>
        <w:ind w:left="0" w:leftChars="0" w:firstLine="420" w:firstLineChars="200"/>
        <w:textAlignment w:val="baseline"/>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承担</w:t>
      </w:r>
      <w:r>
        <w:rPr>
          <w:rFonts w:hint="eastAsia" w:ascii="宋体" w:hAnsi="宋体" w:cs="宋体"/>
          <w:color w:val="auto"/>
          <w:szCs w:val="21"/>
          <w:highlight w:val="none"/>
          <w:shd w:val="clear" w:color="auto" w:fill="FFFFFF"/>
          <w:lang w:eastAsia="zh-CN"/>
        </w:rPr>
        <w:t>采购人</w:t>
      </w:r>
      <w:r>
        <w:rPr>
          <w:rFonts w:hint="eastAsia" w:ascii="宋体" w:hAnsi="宋体" w:cs="宋体"/>
          <w:color w:val="auto"/>
          <w:szCs w:val="21"/>
          <w:highlight w:val="none"/>
          <w:shd w:val="clear" w:color="auto" w:fill="FFFFFF"/>
        </w:rPr>
        <w:t>交办的相关工作的技术</w:t>
      </w:r>
      <w:r>
        <w:rPr>
          <w:rFonts w:hint="eastAsia" w:ascii="宋体" w:hAnsi="宋体" w:cs="宋体"/>
          <w:color w:val="auto"/>
          <w:szCs w:val="21"/>
          <w:highlight w:val="none"/>
          <w:shd w:val="clear" w:color="auto" w:fill="FFFFFF"/>
          <w:lang w:val="en-US" w:eastAsia="zh-CN"/>
        </w:rPr>
        <w:t>材料收集及整理汇总</w:t>
      </w:r>
      <w:r>
        <w:rPr>
          <w:rFonts w:hint="eastAsia" w:ascii="宋体" w:hAnsi="宋体" w:cs="宋体"/>
          <w:color w:val="auto"/>
          <w:szCs w:val="21"/>
          <w:highlight w:val="none"/>
          <w:shd w:val="clear" w:color="auto" w:fill="FFFFFF"/>
        </w:rPr>
        <w:t>任务，包括：广州市治水治气工作调度会汇报材料，广州市水务局关于国家和省部署工作落实情况表，广州市领导专项项目</w:t>
      </w:r>
      <w:r>
        <w:rPr>
          <w:rFonts w:hint="eastAsia" w:ascii="宋体" w:hAnsi="宋体" w:cs="宋体"/>
          <w:color w:val="auto"/>
          <w:szCs w:val="21"/>
          <w:highlight w:val="none"/>
          <w:shd w:val="clear" w:color="auto" w:fill="FFFFFF"/>
          <w:lang w:val="en-US" w:eastAsia="zh-CN"/>
        </w:rPr>
        <w:t>现场会议</w:t>
      </w:r>
      <w:r>
        <w:rPr>
          <w:rFonts w:hint="eastAsia" w:ascii="宋体" w:hAnsi="宋体" w:cs="宋体"/>
          <w:color w:val="auto"/>
          <w:szCs w:val="21"/>
          <w:highlight w:val="none"/>
          <w:shd w:val="clear" w:color="auto" w:fill="FFFFFF"/>
        </w:rPr>
        <w:t>材料等；</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承担</w:t>
      </w:r>
      <w:r>
        <w:rPr>
          <w:rFonts w:hint="eastAsia" w:ascii="宋体" w:hAnsi="宋体" w:cs="宋体"/>
          <w:color w:val="auto"/>
          <w:szCs w:val="21"/>
          <w:highlight w:val="none"/>
          <w:shd w:val="clear" w:color="auto" w:fill="FFFFFF"/>
          <w:lang w:eastAsia="zh-CN"/>
        </w:rPr>
        <w:t>采购人</w:t>
      </w:r>
      <w:r>
        <w:rPr>
          <w:rFonts w:hint="eastAsia" w:ascii="宋体" w:hAnsi="宋体" w:cs="宋体"/>
          <w:color w:val="auto"/>
          <w:szCs w:val="21"/>
          <w:highlight w:val="none"/>
          <w:shd w:val="clear" w:color="auto" w:fill="FFFFFF"/>
        </w:rPr>
        <w:t>日常</w:t>
      </w:r>
      <w:r>
        <w:rPr>
          <w:rFonts w:hint="eastAsia" w:ascii="宋体" w:hAnsi="宋体" w:cs="宋体"/>
          <w:color w:val="auto"/>
          <w:szCs w:val="21"/>
          <w:highlight w:val="none"/>
          <w:shd w:val="clear" w:color="auto" w:fill="FFFFFF"/>
          <w:lang w:val="en-US" w:eastAsia="zh-CN"/>
        </w:rPr>
        <w:t>技术</w:t>
      </w:r>
      <w:r>
        <w:rPr>
          <w:rFonts w:hint="eastAsia" w:ascii="宋体" w:hAnsi="宋体" w:cs="宋体"/>
          <w:color w:val="auto"/>
          <w:szCs w:val="21"/>
          <w:highlight w:val="none"/>
          <w:shd w:val="clear" w:color="auto" w:fill="FFFFFF"/>
        </w:rPr>
        <w:t>咨询、</w:t>
      </w:r>
      <w:r>
        <w:rPr>
          <w:rFonts w:hint="eastAsia" w:ascii="宋体" w:hAnsi="宋体" w:cs="宋体"/>
          <w:color w:val="auto"/>
          <w:szCs w:val="21"/>
          <w:highlight w:val="none"/>
          <w:shd w:val="clear" w:color="auto" w:fill="FFFFFF"/>
          <w:lang w:val="en-US" w:eastAsia="zh-CN"/>
        </w:rPr>
        <w:t>技术</w:t>
      </w:r>
      <w:r>
        <w:rPr>
          <w:rFonts w:hint="eastAsia" w:ascii="宋体" w:hAnsi="宋体" w:cs="宋体"/>
          <w:color w:val="auto"/>
          <w:szCs w:val="21"/>
          <w:highlight w:val="none"/>
          <w:shd w:val="clear" w:color="auto" w:fill="FFFFFF"/>
        </w:rPr>
        <w:t>文件</w:t>
      </w:r>
      <w:r>
        <w:rPr>
          <w:rFonts w:hint="eastAsia" w:ascii="宋体" w:hAnsi="宋体" w:cs="宋体"/>
          <w:color w:val="auto"/>
          <w:szCs w:val="21"/>
          <w:highlight w:val="none"/>
          <w:shd w:val="clear" w:color="auto" w:fill="FFFFFF"/>
          <w:lang w:val="en-US" w:eastAsia="zh-CN"/>
        </w:rPr>
        <w:t>处理</w:t>
      </w:r>
      <w:r>
        <w:rPr>
          <w:rFonts w:hint="eastAsia" w:ascii="宋体" w:hAnsi="宋体" w:cs="宋体"/>
          <w:color w:val="auto"/>
          <w:szCs w:val="21"/>
          <w:highlight w:val="none"/>
          <w:shd w:val="clear" w:color="auto" w:fill="FFFFFF"/>
        </w:rPr>
        <w:t>等相关工作，主要包括：专项规划、建设规划、技术指引、实施方案、</w:t>
      </w:r>
      <w:r>
        <w:rPr>
          <w:rFonts w:hint="eastAsia" w:ascii="宋体" w:hAnsi="宋体" w:cs="宋体"/>
          <w:color w:val="auto"/>
          <w:szCs w:val="21"/>
          <w:highlight w:val="none"/>
          <w:shd w:val="clear" w:color="auto" w:fill="FFFFFF"/>
          <w:lang w:val="en-US" w:eastAsia="zh-CN"/>
        </w:rPr>
        <w:t>年度任务书、</w:t>
      </w:r>
      <w:r>
        <w:rPr>
          <w:rFonts w:hint="eastAsia" w:ascii="宋体" w:hAnsi="宋体" w:cs="宋体"/>
          <w:color w:val="auto"/>
          <w:szCs w:val="21"/>
          <w:highlight w:val="none"/>
          <w:shd w:val="clear" w:color="auto" w:fill="FFFFFF"/>
        </w:rPr>
        <w:t>系统化方案、建设效果评估和</w:t>
      </w:r>
      <w:r>
        <w:rPr>
          <w:rFonts w:hint="eastAsia" w:ascii="宋体" w:hAnsi="宋体" w:cs="宋体"/>
          <w:color w:val="auto"/>
          <w:szCs w:val="21"/>
          <w:highlight w:val="none"/>
          <w:shd w:val="clear" w:color="auto" w:fill="FFFFFF"/>
          <w:lang w:val="en-US" w:eastAsia="zh-CN"/>
        </w:rPr>
        <w:t>海绵城市</w:t>
      </w:r>
      <w:r>
        <w:rPr>
          <w:rFonts w:hint="eastAsia" w:ascii="宋体" w:hAnsi="宋体" w:cs="宋体"/>
          <w:color w:val="auto"/>
          <w:szCs w:val="21"/>
          <w:highlight w:val="none"/>
          <w:shd w:val="clear" w:color="auto" w:fill="FFFFFF"/>
        </w:rPr>
        <w:t>监测方案等；</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配合</w:t>
      </w:r>
      <w:r>
        <w:rPr>
          <w:rFonts w:hint="eastAsia" w:ascii="宋体" w:hAnsi="宋体" w:cs="宋体"/>
          <w:color w:val="auto"/>
          <w:szCs w:val="21"/>
          <w:highlight w:val="none"/>
          <w:shd w:val="clear" w:color="auto" w:fill="FFFFFF"/>
          <w:lang w:eastAsia="zh-CN"/>
        </w:rPr>
        <w:t>采购人</w:t>
      </w:r>
      <w:r>
        <w:rPr>
          <w:rFonts w:hint="eastAsia" w:ascii="宋体" w:hAnsi="宋体" w:cs="宋体"/>
          <w:color w:val="auto"/>
          <w:szCs w:val="21"/>
          <w:highlight w:val="none"/>
          <w:shd w:val="clear" w:color="auto" w:fill="FFFFFF"/>
        </w:rPr>
        <w:t>开展日常项目抽查并提出专业意见；</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协助开展专项调研，学习</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推广</w:t>
      </w:r>
      <w:r>
        <w:rPr>
          <w:rFonts w:hint="eastAsia" w:ascii="宋体" w:hAnsi="宋体" w:cs="宋体"/>
          <w:color w:val="auto"/>
          <w:szCs w:val="21"/>
          <w:highlight w:val="none"/>
          <w:shd w:val="clear" w:color="auto" w:fill="FFFFFF"/>
        </w:rPr>
        <w:t>海绵</w:t>
      </w:r>
      <w:r>
        <w:rPr>
          <w:rFonts w:hint="eastAsia" w:ascii="宋体" w:hAnsi="宋体" w:cs="宋体"/>
          <w:color w:val="auto"/>
          <w:szCs w:val="21"/>
          <w:highlight w:val="none"/>
          <w:shd w:val="clear" w:color="auto" w:fill="FFFFFF"/>
          <w:lang w:val="en-US" w:eastAsia="zh-CN"/>
        </w:rPr>
        <w:t>城市工作</w:t>
      </w:r>
      <w:r>
        <w:rPr>
          <w:rFonts w:hint="eastAsia" w:ascii="宋体" w:hAnsi="宋体" w:cs="宋体"/>
          <w:color w:val="auto"/>
          <w:szCs w:val="21"/>
          <w:highlight w:val="none"/>
          <w:shd w:val="clear" w:color="auto" w:fill="FFFFFF"/>
        </w:rPr>
        <w:t>经验，编制调研报告；</w:t>
      </w:r>
    </w:p>
    <w:p>
      <w:pPr>
        <w:pStyle w:val="7"/>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firstLine="420" w:firstLineChars="200"/>
        <w:textAlignment w:val="baseline"/>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协助开展海绵城市示范片区有关工作。</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Style w:val="6"/>
          <w:b/>
          <w:bCs/>
          <w:color w:val="auto"/>
          <w:szCs w:val="22"/>
          <w:highlight w:val="none"/>
        </w:rPr>
      </w:pPr>
      <w:r>
        <w:rPr>
          <w:rStyle w:val="6"/>
          <w:b/>
          <w:bCs/>
          <w:color w:val="auto"/>
          <w:szCs w:val="22"/>
          <w:highlight w:val="none"/>
        </w:rPr>
        <w:t>（四）海绵城市建设评估培训</w:t>
      </w:r>
    </w:p>
    <w:p>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海绵城市建设评估培训每年举办不少于1次，参加人数不少于150人</w:t>
      </w:r>
      <w:r>
        <w:rPr>
          <w:rFonts w:hint="eastAsia" w:ascii="宋体" w:hAnsi="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rPr>
        <w:t>次，每次不少于2天。</w:t>
      </w:r>
    </w:p>
    <w:p>
      <w:pPr>
        <w:pStyle w:val="7"/>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baseline"/>
        <w:rPr>
          <w:rStyle w:val="6"/>
          <w:b/>
          <w:bCs/>
          <w:color w:val="auto"/>
          <w:szCs w:val="22"/>
          <w:highlight w:val="none"/>
        </w:rPr>
      </w:pPr>
      <w:r>
        <w:rPr>
          <w:rStyle w:val="6"/>
          <w:b/>
          <w:bCs/>
          <w:color w:val="auto"/>
          <w:szCs w:val="22"/>
          <w:highlight w:val="none"/>
        </w:rPr>
        <w:t>（五）海绵城市建设工作成效宣传</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Fonts w:hint="eastAsia"/>
          <w:b/>
          <w:bCs/>
          <w:color w:val="auto"/>
          <w:highlight w:val="none"/>
        </w:rPr>
      </w:pPr>
      <w:r>
        <w:rPr>
          <w:rStyle w:val="6"/>
          <w:rFonts w:hint="eastAsia" w:ascii="宋体" w:hAnsi="宋体" w:cs="宋体"/>
          <w:color w:val="auto"/>
          <w:kern w:val="0"/>
          <w:szCs w:val="21"/>
          <w:highlight w:val="none"/>
        </w:rPr>
        <w:t>每月不少于2篇宣传文稿（以公众号或媒体采纳为准）</w:t>
      </w:r>
      <w:r>
        <w:rPr>
          <w:rStyle w:val="6"/>
          <w:rFonts w:hint="eastAsia" w:ascii="宋体" w:hAnsi="宋体" w:cs="宋体"/>
          <w:color w:val="auto"/>
          <w:kern w:val="0"/>
          <w:szCs w:val="21"/>
          <w:highlight w:val="none"/>
          <w:lang w:eastAsia="zh-CN"/>
        </w:rPr>
        <w:t>，</w:t>
      </w:r>
      <w:r>
        <w:rPr>
          <w:rStyle w:val="6"/>
          <w:rFonts w:hint="eastAsia" w:ascii="宋体" w:hAnsi="宋体" w:cs="宋体"/>
          <w:color w:val="auto"/>
          <w:kern w:val="0"/>
          <w:szCs w:val="21"/>
          <w:highlight w:val="none"/>
        </w:rPr>
        <w:t>完成</w:t>
      </w:r>
      <w:r>
        <w:rPr>
          <w:rStyle w:val="6"/>
          <w:rFonts w:ascii="宋体" w:hAnsi="宋体" w:cs="宋体"/>
          <w:color w:val="auto"/>
          <w:kern w:val="0"/>
          <w:szCs w:val="21"/>
          <w:highlight w:val="none"/>
        </w:rPr>
        <w:t>国内正规出版社公开发行刊物1</w:t>
      </w:r>
      <w:r>
        <w:rPr>
          <w:rStyle w:val="6"/>
          <w:rFonts w:hint="eastAsia" w:ascii="宋体" w:hAnsi="宋体" w:cs="宋体"/>
          <w:color w:val="auto"/>
          <w:kern w:val="0"/>
          <w:szCs w:val="21"/>
          <w:highlight w:val="none"/>
          <w:lang w:val="en-US" w:eastAsia="zh-CN"/>
        </w:rPr>
        <w:t>-2</w:t>
      </w:r>
      <w:r>
        <w:rPr>
          <w:rStyle w:val="6"/>
          <w:rFonts w:ascii="宋体" w:hAnsi="宋体" w:cs="宋体"/>
          <w:color w:val="auto"/>
          <w:kern w:val="0"/>
          <w:szCs w:val="21"/>
          <w:highlight w:val="none"/>
        </w:rPr>
        <w:t>册</w:t>
      </w:r>
      <w:r>
        <w:rPr>
          <w:rStyle w:val="6"/>
          <w:rFonts w:hint="eastAsia" w:ascii="宋体" w:hAnsi="宋体" w:eastAsia="宋体" w:cs="宋体"/>
          <w:color w:val="auto"/>
          <w:szCs w:val="21"/>
          <w:highlight w:val="none"/>
          <w:lang w:eastAsia="zh-CN"/>
        </w:rPr>
        <w:t>（刊物须经采购人审定同意）</w:t>
      </w:r>
      <w:r>
        <w:rPr>
          <w:rStyle w:val="6"/>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outlineLvl w:val="2"/>
        <w:rPr>
          <w:rStyle w:val="6"/>
          <w:rFonts w:hint="eastAsia" w:ascii="宋体" w:hAnsi="宋体" w:cs="宋体"/>
          <w:b/>
          <w:bCs/>
          <w:color w:val="auto"/>
          <w:kern w:val="0"/>
          <w:szCs w:val="21"/>
          <w:highlight w:val="none"/>
        </w:rPr>
      </w:pPr>
      <w:r>
        <w:rPr>
          <w:rStyle w:val="6"/>
          <w:rFonts w:hint="eastAsia" w:ascii="宋体" w:hAnsi="宋体" w:cs="宋体"/>
          <w:b/>
          <w:bCs/>
          <w:color w:val="auto"/>
          <w:kern w:val="0"/>
          <w:szCs w:val="21"/>
          <w:highlight w:val="none"/>
        </w:rPr>
        <w:t>（六）海绵城市建设专家</w:t>
      </w:r>
      <w:r>
        <w:rPr>
          <w:rStyle w:val="6"/>
          <w:rFonts w:hint="eastAsia" w:ascii="宋体" w:hAnsi="宋体" w:cs="宋体"/>
          <w:b/>
          <w:bCs/>
          <w:color w:val="auto"/>
          <w:kern w:val="0"/>
          <w:szCs w:val="21"/>
          <w:highlight w:val="none"/>
          <w:lang w:val="en-US" w:eastAsia="zh-CN"/>
        </w:rPr>
        <w:t>咨询及</w:t>
      </w:r>
      <w:r>
        <w:rPr>
          <w:rStyle w:val="6"/>
          <w:rFonts w:hint="eastAsia" w:ascii="宋体" w:hAnsi="宋体" w:cs="宋体"/>
          <w:b/>
          <w:bCs/>
          <w:color w:val="auto"/>
          <w:kern w:val="0"/>
          <w:szCs w:val="21"/>
          <w:highlight w:val="none"/>
        </w:rPr>
        <w:t>技术</w:t>
      </w:r>
      <w:r>
        <w:rPr>
          <w:rStyle w:val="6"/>
          <w:rFonts w:hint="eastAsia" w:ascii="宋体" w:hAnsi="宋体" w:cs="宋体"/>
          <w:b/>
          <w:bCs/>
          <w:color w:val="auto"/>
          <w:kern w:val="0"/>
          <w:szCs w:val="21"/>
          <w:highlight w:val="none"/>
          <w:lang w:val="en-US" w:eastAsia="zh-CN"/>
        </w:rPr>
        <w:t>交流</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b/>
          <w:color w:val="auto"/>
          <w:szCs w:val="21"/>
          <w:highlight w:val="none"/>
        </w:rPr>
      </w:pPr>
      <w:r>
        <w:rPr>
          <w:rStyle w:val="6"/>
          <w:rFonts w:hint="eastAsia" w:ascii="宋体" w:hAnsi="宋体" w:cs="宋体"/>
          <w:color w:val="auto"/>
          <w:szCs w:val="21"/>
          <w:highlight w:val="none"/>
        </w:rPr>
        <w:t>按要求组织和聘请专家进行资料或现场审查、勘查等，组织参加技术研讨会</w:t>
      </w:r>
      <w:r>
        <w:rPr>
          <w:rStyle w:val="6"/>
          <w:rFonts w:hint="eastAsia" w:ascii="宋体" w:hAnsi="宋体" w:cs="宋体"/>
          <w:color w:val="auto"/>
          <w:szCs w:val="21"/>
          <w:highlight w:val="none"/>
          <w:lang w:eastAsia="zh-CN"/>
        </w:rPr>
        <w:t>，</w:t>
      </w:r>
      <w:r>
        <w:rPr>
          <w:rStyle w:val="6"/>
          <w:rFonts w:hint="eastAsia" w:ascii="宋体" w:hAnsi="宋体" w:cs="宋体"/>
          <w:color w:val="auto"/>
          <w:szCs w:val="21"/>
          <w:highlight w:val="none"/>
          <w:lang w:val="en-US" w:eastAsia="zh-CN"/>
        </w:rPr>
        <w:t>协助组织参加对外交流会议</w:t>
      </w:r>
      <w:r>
        <w:rPr>
          <w:rStyle w:val="6"/>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2"/>
        <w:rPr>
          <w:rStyle w:val="6"/>
          <w:rFonts w:hint="eastAsia" w:ascii="宋体" w:hAnsi="宋体" w:cs="宋体"/>
          <w:b/>
          <w:bCs/>
          <w:color w:val="auto"/>
          <w:kern w:val="0"/>
          <w:szCs w:val="21"/>
          <w:highlight w:val="none"/>
        </w:rPr>
      </w:pPr>
      <w:r>
        <w:rPr>
          <w:rStyle w:val="6"/>
          <w:rFonts w:hint="eastAsia" w:ascii="宋体" w:hAnsi="宋体" w:cs="宋体"/>
          <w:b/>
          <w:bCs/>
          <w:color w:val="auto"/>
          <w:kern w:val="0"/>
          <w:szCs w:val="21"/>
          <w:highlight w:val="none"/>
        </w:rPr>
        <w:t>（七）完成采购人提出的海绵城市建设相关工作。</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6"/>
          <w:rFonts w:hint="eastAsia" w:ascii="宋体" w:hAnsi="宋体" w:cs="宋体"/>
          <w:b/>
          <w:bCs/>
          <w:color w:val="auto"/>
          <w:szCs w:val="21"/>
          <w:highlight w:val="none"/>
        </w:rPr>
      </w:pPr>
      <w:r>
        <w:rPr>
          <w:rStyle w:val="6"/>
          <w:rFonts w:hint="eastAsia" w:ascii="宋体" w:hAnsi="宋体" w:eastAsia="宋体" w:cs="宋体"/>
          <w:b/>
          <w:bCs/>
          <w:color w:val="auto"/>
          <w:szCs w:val="21"/>
          <w:highlight w:val="none"/>
          <w:lang w:val="en-US" w:eastAsia="zh-CN"/>
        </w:rPr>
        <w:t>五、</w:t>
      </w:r>
      <w:r>
        <w:rPr>
          <w:rStyle w:val="6"/>
          <w:rFonts w:hint="eastAsia" w:ascii="宋体" w:hAnsi="宋体" w:cs="宋体"/>
          <w:b/>
          <w:bCs/>
          <w:color w:val="auto"/>
          <w:szCs w:val="21"/>
          <w:highlight w:val="none"/>
        </w:rPr>
        <w:t>评估指标</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根据《海绵城市建设评价标准》，海绵城市建设的评价以城市建成区为评价对象，对建成区范围内的源头减排</w:t>
      </w:r>
      <w:r>
        <w:rPr>
          <w:rStyle w:val="6"/>
          <w:rFonts w:hint="eastAsia" w:ascii="宋体" w:hAnsi="宋体" w:eastAsia="宋体" w:cs="宋体"/>
          <w:color w:val="auto"/>
          <w:szCs w:val="21"/>
          <w:highlight w:val="none"/>
        </w:rPr>
        <w:t>项目</w:t>
      </w:r>
      <w:r>
        <w:rPr>
          <w:rStyle w:val="6"/>
          <w:rFonts w:hint="eastAsia" w:ascii="宋体" w:hAnsi="宋体" w:cs="宋体"/>
          <w:color w:val="auto"/>
          <w:szCs w:val="21"/>
          <w:highlight w:val="none"/>
        </w:rPr>
        <w:t>、排水分区及建成区整体的海绵效应进行评价。海绵城市建设评价的结果按排水分区为单元进行统计，达到《海绵城市建设评价标准》要求的城市建成区面积占城市建成区总面积的比例。</w:t>
      </w:r>
      <w:r>
        <w:rPr>
          <w:rStyle w:val="6"/>
          <w:rFonts w:hint="eastAsia" w:ascii="宋体" w:hAnsi="宋体" w:cs="宋体"/>
          <w:color w:val="auto"/>
          <w:szCs w:val="21"/>
          <w:highlight w:val="none"/>
        </w:rPr>
        <w:t>海绵城市建设评价应对典型项目、管网、城市水体等进行监测，以不少于1年的连续监测数据为基础，结合现场检查、资料查阅和模型模拟进行综合评价。</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ascii="宋体" w:hAnsi="宋体" w:cs="宋体"/>
          <w:color w:val="auto"/>
          <w:szCs w:val="21"/>
          <w:highlight w:val="none"/>
        </w:rPr>
      </w:pPr>
      <w:r>
        <w:rPr>
          <w:rStyle w:val="6"/>
          <w:rFonts w:hint="eastAsia" w:ascii="宋体" w:hAnsi="宋体" w:cs="宋体"/>
          <w:color w:val="auto"/>
          <w:szCs w:val="21"/>
          <w:highlight w:val="none"/>
        </w:rPr>
        <w:t>根据住建部对海绵城市建设考核与评估要求，海绵城市建设实施效果从天然水域面积变化率、年径流总量控制率、黑臭水体消除比例、内涝积水点消除比例、内涝防治标准达标率等5项核心指标来评价，以排水分区为考核单元，城市达标建成区面积为各达标排水分区建成区面积之和。并对其他3项目重要指标“年度</w:t>
      </w:r>
      <w:r>
        <w:rPr>
          <w:rStyle w:val="6"/>
          <w:rFonts w:hint="eastAsia" w:ascii="宋体" w:hAnsi="宋体" w:eastAsia="宋体" w:cs="宋体"/>
          <w:color w:val="auto"/>
          <w:szCs w:val="21"/>
          <w:highlight w:val="none"/>
        </w:rPr>
        <w:t>雨水</w:t>
      </w:r>
      <w:r>
        <w:rPr>
          <w:rStyle w:val="6"/>
          <w:rFonts w:hint="eastAsia" w:ascii="宋体" w:hAnsi="宋体" w:cs="宋体"/>
          <w:color w:val="auto"/>
          <w:szCs w:val="21"/>
          <w:highlight w:val="none"/>
        </w:rPr>
        <w:t>资源化利用量、再生水利用率、城市建成区可透水面积比例”等指标进行评估。</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（1）天然水域面积变化率</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天然水域面积变化率为海绵城市建设后水系湿地面积减去海绵城市建设前水系湿地面积后与评估区域总面积的比值。天然水域面积比2015年海绵开发建设前不得减少。本指标评估根据自评估报告结合相关规划建设开展评估。</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（2）年</w:t>
      </w:r>
      <w:r>
        <w:rPr>
          <w:rStyle w:val="6"/>
          <w:rFonts w:hint="eastAsia" w:ascii="宋体" w:hAnsi="宋体" w:eastAsia="宋体" w:cs="宋体"/>
          <w:color w:val="auto"/>
          <w:szCs w:val="21"/>
          <w:highlight w:val="none"/>
        </w:rPr>
        <w:t>径流</w:t>
      </w:r>
      <w:r>
        <w:rPr>
          <w:rStyle w:val="6"/>
          <w:rFonts w:hint="eastAsia" w:ascii="宋体" w:hAnsi="宋体" w:cs="宋体"/>
          <w:color w:val="auto"/>
          <w:szCs w:val="21"/>
          <w:highlight w:val="none"/>
        </w:rPr>
        <w:t>总量控制率</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年径流</w:t>
      </w:r>
      <w:r>
        <w:rPr>
          <w:rStyle w:val="6"/>
          <w:rFonts w:hint="eastAsia" w:ascii="宋体" w:hAnsi="宋体" w:eastAsia="宋体" w:cs="宋体"/>
          <w:color w:val="auto"/>
          <w:szCs w:val="21"/>
          <w:highlight w:val="none"/>
        </w:rPr>
        <w:t>总量</w:t>
      </w:r>
      <w:r>
        <w:rPr>
          <w:rStyle w:val="6"/>
          <w:rFonts w:hint="eastAsia" w:ascii="宋体" w:hAnsi="宋体" w:cs="宋体"/>
          <w:color w:val="auto"/>
          <w:szCs w:val="21"/>
          <w:highlight w:val="none"/>
        </w:rPr>
        <w:t>控制率可采用径流体积控制规模核算、监测+模型模拟，并与现场检查相结合的方法进行评价。</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目标要求：</w:t>
      </w:r>
      <w:r>
        <w:rPr>
          <w:rStyle w:val="6"/>
          <w:rFonts w:hint="eastAsia" w:ascii="宋体" w:hAnsi="宋体" w:cs="宋体"/>
          <w:b/>
          <w:bCs/>
          <w:color w:val="auto"/>
          <w:szCs w:val="21"/>
          <w:highlight w:val="none"/>
        </w:rPr>
        <w:t>新建区</w:t>
      </w:r>
      <w:r>
        <w:rPr>
          <w:rStyle w:val="6"/>
          <w:rFonts w:hint="eastAsia" w:ascii="宋体" w:hAnsi="宋体" w:cs="宋体"/>
          <w:color w:val="auto"/>
          <w:szCs w:val="21"/>
          <w:highlight w:val="none"/>
        </w:rPr>
        <w:t>不得低于所在区域规定下限值。其中，新建建筑、小区项目的雨水年径流总量控制率不得低于所在区域规定下限值，改扩建建筑、小区项目外排径流峰值流量不得超过更新改造前原有径流峰值流量；新建停车场与广场项目的雨水年径流总量控制率不得低于所在区域规定下限值；新建公园与防护绿地项目的雨水年径流总量控制率不得低于所在区域规定下限值，应按照规划设计要求接纳周边区域降雨径流。</w:t>
      </w:r>
      <w:r>
        <w:rPr>
          <w:rStyle w:val="6"/>
          <w:rFonts w:hint="eastAsia" w:ascii="宋体" w:hAnsi="宋体" w:cs="宋体"/>
          <w:b/>
          <w:bCs/>
          <w:color w:val="auto"/>
          <w:szCs w:val="21"/>
          <w:highlight w:val="none"/>
        </w:rPr>
        <w:t>已建区</w:t>
      </w:r>
      <w:r>
        <w:rPr>
          <w:rStyle w:val="6"/>
          <w:rFonts w:hint="eastAsia" w:ascii="宋体" w:hAnsi="宋体" w:cs="宋体"/>
          <w:color w:val="auto"/>
          <w:szCs w:val="21"/>
          <w:highlight w:val="none"/>
        </w:rPr>
        <w:t>达到专项规划的目标要求。</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（3）黑臭水体消除比例</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评价海绵城市建设前后的黑臭水体消除情况，采用资料查阅、水质监测和现场检查进行评价，要求水体不得出现黑臭现象，且水质不应劣于海绵城市建设前的水质。本指标评估根据黑臭水体相关监测数据结合现场采样分析综合评估。</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（4）内涝积水点消除比例</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评价海绵城市建设前后的内涝积水点消除比例情况，采用摄像监测、资料查阅和现场检查进行评价，要求在《室外排水</w:t>
      </w:r>
      <w:r>
        <w:rPr>
          <w:rStyle w:val="6"/>
          <w:rFonts w:hint="eastAsia" w:ascii="宋体" w:hAnsi="宋体" w:eastAsia="宋体" w:cs="宋体"/>
          <w:color w:val="auto"/>
          <w:szCs w:val="21"/>
          <w:highlight w:val="none"/>
        </w:rPr>
        <w:t>设计</w:t>
      </w:r>
      <w:r>
        <w:rPr>
          <w:rStyle w:val="6"/>
          <w:rFonts w:hint="eastAsia" w:ascii="宋体" w:hAnsi="宋体" w:cs="宋体"/>
          <w:color w:val="auto"/>
          <w:szCs w:val="21"/>
          <w:highlight w:val="none"/>
        </w:rPr>
        <w:t>规范》（GB50014</w:t>
      </w:r>
      <w:r>
        <w:rPr>
          <w:rStyle w:val="6"/>
          <w:rFonts w:hint="eastAsia" w:ascii="宋体" w:hAnsi="宋体" w:eastAsia="宋体" w:cs="宋体"/>
          <w:color w:val="auto"/>
          <w:szCs w:val="21"/>
          <w:highlight w:val="none"/>
          <w:lang w:val="en-US" w:eastAsia="zh-CN"/>
        </w:rPr>
        <w:t>-2021</w:t>
      </w:r>
      <w:r>
        <w:rPr>
          <w:rStyle w:val="6"/>
          <w:rFonts w:hint="eastAsia" w:ascii="宋体" w:hAnsi="宋体" w:cs="宋体"/>
          <w:color w:val="auto"/>
          <w:szCs w:val="21"/>
          <w:highlight w:val="none"/>
        </w:rPr>
        <w:t>）规定的雨水管渠设计重现期对应的降雨情况下，不应有积水现象。内涝积水点统计范围为住建部挂号和各区新增内涝点。本指标评估系统化方案、设计成果等相关技术文件复核结合现场调研结果方式开展评估工作。</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cs="宋体"/>
          <w:color w:val="auto"/>
          <w:szCs w:val="21"/>
          <w:highlight w:val="none"/>
        </w:rPr>
      </w:pPr>
      <w:r>
        <w:rPr>
          <w:rStyle w:val="6"/>
          <w:rFonts w:hint="eastAsia" w:ascii="宋体" w:hAnsi="宋体" w:cs="宋体"/>
          <w:color w:val="auto"/>
          <w:szCs w:val="21"/>
          <w:highlight w:val="none"/>
        </w:rPr>
        <w:t>（5）内涝防治标准达标率</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eastAsia="宋体" w:cs="宋体"/>
          <w:color w:val="auto"/>
          <w:szCs w:val="21"/>
          <w:highlight w:val="none"/>
        </w:rPr>
      </w:pPr>
      <w:r>
        <w:rPr>
          <w:rStyle w:val="6"/>
          <w:rFonts w:hint="eastAsia" w:ascii="宋体" w:hAnsi="宋体" w:cs="宋体"/>
          <w:color w:val="auto"/>
          <w:szCs w:val="21"/>
          <w:highlight w:val="none"/>
        </w:rPr>
        <w:t>计算方法为达到内涝防治标准的面积占评估区域总面积的比值。其中，达到内涝防治标准的建成区面积指，以排水分区为单元，在《室外排水设计规范》（GB50014</w:t>
      </w:r>
      <w:r>
        <w:rPr>
          <w:rStyle w:val="6"/>
          <w:rFonts w:hint="eastAsia" w:ascii="宋体" w:hAnsi="宋体" w:cs="宋体"/>
          <w:color w:val="auto"/>
          <w:szCs w:val="21"/>
          <w:highlight w:val="none"/>
          <w:lang w:val="en-US" w:eastAsia="zh-CN"/>
        </w:rPr>
        <w:t>-2021</w:t>
      </w:r>
      <w:r>
        <w:rPr>
          <w:rStyle w:val="6"/>
          <w:rFonts w:hint="eastAsia" w:ascii="宋体" w:hAnsi="宋体" w:cs="宋体"/>
          <w:color w:val="auto"/>
          <w:szCs w:val="21"/>
          <w:highlight w:val="none"/>
        </w:rPr>
        <w:t>）规定的内涝防治设计重现期对应的暴雨情况下，不发生内涝灾害的排水分区面积之和。</w:t>
      </w:r>
      <w:r>
        <w:rPr>
          <w:rStyle w:val="6"/>
          <w:rFonts w:hint="eastAsia" w:ascii="宋体" w:hAnsi="宋体" w:cs="宋体"/>
          <w:color w:val="auto"/>
          <w:szCs w:val="21"/>
          <w:highlight w:val="none"/>
          <w:lang w:val="en-US" w:eastAsia="zh-CN"/>
        </w:rPr>
        <w:t>可</w:t>
      </w:r>
      <w:r>
        <w:rPr>
          <w:rStyle w:val="6"/>
          <w:rFonts w:hint="eastAsia" w:ascii="宋体" w:hAnsi="宋体" w:cs="宋体"/>
          <w:color w:val="auto"/>
          <w:szCs w:val="21"/>
          <w:highlight w:val="none"/>
        </w:rPr>
        <w:t>采用监测与模型评估或摄像资料查阅的方法进行评价。目标要求为在《室外排水设计规范》（GB50014</w:t>
      </w:r>
      <w:r>
        <w:rPr>
          <w:rStyle w:val="6"/>
          <w:rFonts w:hint="eastAsia" w:ascii="宋体" w:hAnsi="宋体" w:cs="宋体"/>
          <w:color w:val="auto"/>
          <w:szCs w:val="21"/>
          <w:highlight w:val="none"/>
          <w:lang w:val="en-US" w:eastAsia="zh-CN"/>
        </w:rPr>
        <w:t>-2021</w:t>
      </w:r>
      <w:r>
        <w:rPr>
          <w:rStyle w:val="6"/>
          <w:rFonts w:hint="eastAsia" w:ascii="宋体" w:hAnsi="宋体" w:cs="宋体"/>
          <w:color w:val="auto"/>
          <w:szCs w:val="21"/>
          <w:highlight w:val="none"/>
        </w:rPr>
        <w:t>）规定的内涝防治设计重现期对应的暴雨情况下，区域内的建筑底层不进水，道路交通不断行（道路中一条车道的积水深度不超过15cm）。本指标评</w:t>
      </w:r>
      <w:r>
        <w:rPr>
          <w:rStyle w:val="6"/>
          <w:rFonts w:hint="eastAsia" w:ascii="宋体" w:hAnsi="宋体" w:eastAsia="宋体" w:cs="宋体"/>
          <w:color w:val="auto"/>
          <w:szCs w:val="21"/>
          <w:highlight w:val="none"/>
        </w:rPr>
        <w:t>估应对各区系统化方案、设计成果等相关技术文件复核，有条件的片区可采用模型复核方式开展。</w:t>
      </w:r>
    </w:p>
    <w:p>
      <w:pPr>
        <w:spacing w:line="360" w:lineRule="auto"/>
        <w:rPr>
          <w:rStyle w:val="6"/>
          <w:rFonts w:hint="eastAsia" w:ascii="宋体" w:hAnsi="宋体" w:cs="宋体"/>
          <w:b/>
          <w:bCs/>
          <w:color w:val="auto"/>
          <w:szCs w:val="21"/>
          <w:highlight w:val="none"/>
        </w:rPr>
      </w:pPr>
      <w:r>
        <w:rPr>
          <w:rStyle w:val="6"/>
          <w:rFonts w:hint="eastAsia" w:ascii="宋体" w:hAnsi="宋体" w:eastAsia="宋体" w:cs="宋体"/>
          <w:b/>
          <w:bCs/>
          <w:color w:val="auto"/>
          <w:szCs w:val="21"/>
          <w:highlight w:val="none"/>
          <w:lang w:val="en-US" w:eastAsia="zh-CN"/>
        </w:rPr>
        <w:t>六</w:t>
      </w:r>
      <w:r>
        <w:rPr>
          <w:rStyle w:val="6"/>
          <w:rFonts w:hint="eastAsia" w:ascii="宋体" w:hAnsi="宋体" w:cs="宋体"/>
          <w:b/>
          <w:bCs/>
          <w:color w:val="auto"/>
          <w:szCs w:val="21"/>
          <w:highlight w:val="none"/>
        </w:rPr>
        <w:t>、成果文件</w:t>
      </w:r>
    </w:p>
    <w:p>
      <w:pPr>
        <w:pStyle w:val="7"/>
        <w:keepNext w:val="0"/>
        <w:keepLines w:val="0"/>
        <w:pageBreakBefore w:val="0"/>
        <w:widowControl/>
        <w:numPr>
          <w:ilvl w:val="0"/>
          <w:numId w:val="5"/>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Cs w:val="21"/>
          <w:highlight w:val="none"/>
          <w:lang w:eastAsia="zh-CN"/>
        </w:rPr>
      </w:pPr>
      <w:r>
        <w:rPr>
          <w:rStyle w:val="6"/>
          <w:rFonts w:hint="eastAsia" w:ascii="宋体" w:hAnsi="宋体" w:eastAsia="宋体" w:cs="宋体"/>
          <w:color w:val="auto"/>
          <w:szCs w:val="21"/>
          <w:highlight w:val="none"/>
        </w:rPr>
        <w:t>各区</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lang w:val="en-US" w:eastAsia="zh-CN"/>
        </w:rPr>
        <w:t>含广州空港委</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rPr>
        <w:t>海绵城市建设工作“回头看”评估报告</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lang w:val="en-US" w:eastAsia="zh-CN"/>
        </w:rPr>
        <w:t>2022、2023、2024年</w:t>
      </w:r>
      <w:r>
        <w:rPr>
          <w:rStyle w:val="6"/>
          <w:rFonts w:hint="eastAsia" w:ascii="宋体" w:hAnsi="宋体" w:eastAsia="宋体" w:cs="宋体"/>
          <w:color w:val="auto"/>
          <w:szCs w:val="21"/>
          <w:highlight w:val="none"/>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Cs w:val="21"/>
          <w:highlight w:val="none"/>
          <w:lang w:eastAsia="zh-CN"/>
        </w:rPr>
      </w:pPr>
      <w:r>
        <w:rPr>
          <w:rStyle w:val="6"/>
          <w:rFonts w:hint="eastAsia" w:ascii="宋体" w:hAnsi="宋体" w:eastAsia="宋体" w:cs="宋体"/>
          <w:color w:val="auto"/>
          <w:szCs w:val="21"/>
          <w:highlight w:val="none"/>
        </w:rPr>
        <w:t>广州市海绵城市建设工作“回头看”总体评估报告</w:t>
      </w:r>
      <w:r>
        <w:rPr>
          <w:rStyle w:val="6"/>
          <w:rFonts w:hint="eastAsia" w:ascii="宋体" w:hAnsi="宋体" w:eastAsia="宋体" w:cs="宋体"/>
          <w:color w:val="auto"/>
          <w:szCs w:val="21"/>
          <w:highlight w:val="none"/>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Cs w:val="21"/>
          <w:highlight w:val="none"/>
          <w:lang w:eastAsia="zh-CN"/>
        </w:rPr>
      </w:pPr>
      <w:r>
        <w:rPr>
          <w:rStyle w:val="6"/>
          <w:rFonts w:hint="eastAsia" w:ascii="宋体" w:hAnsi="宋体" w:eastAsia="宋体" w:cs="宋体"/>
          <w:color w:val="auto"/>
          <w:szCs w:val="21"/>
          <w:highlight w:val="none"/>
        </w:rPr>
        <w:t>各区</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lang w:val="en-US" w:eastAsia="zh-CN"/>
        </w:rPr>
        <w:t>含广州空港委</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rPr>
        <w:t>海绵城市建设实施情况月评估报告</w:t>
      </w:r>
      <w:r>
        <w:rPr>
          <w:rStyle w:val="6"/>
          <w:rFonts w:hint="eastAsia" w:ascii="宋体" w:hAnsi="宋体" w:eastAsia="宋体" w:cs="宋体"/>
          <w:color w:val="auto"/>
          <w:szCs w:val="21"/>
          <w:highlight w:val="none"/>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Cs w:val="21"/>
          <w:highlight w:val="none"/>
          <w:lang w:eastAsia="zh-CN"/>
        </w:rPr>
      </w:pPr>
      <w:r>
        <w:rPr>
          <w:rStyle w:val="6"/>
          <w:rFonts w:hint="eastAsia" w:ascii="宋体" w:hAnsi="宋体" w:eastAsia="宋体" w:cs="宋体"/>
          <w:color w:val="auto"/>
          <w:szCs w:val="21"/>
          <w:highlight w:val="none"/>
        </w:rPr>
        <w:t>广州市海绵城市建设实施情况</w:t>
      </w:r>
      <w:r>
        <w:rPr>
          <w:rStyle w:val="6"/>
          <w:rFonts w:hint="eastAsia" w:ascii="宋体" w:hAnsi="宋体" w:eastAsia="宋体" w:cs="宋体"/>
          <w:color w:val="auto"/>
          <w:szCs w:val="21"/>
          <w:highlight w:val="none"/>
          <w:lang w:val="en-US" w:eastAsia="zh-CN"/>
        </w:rPr>
        <w:t>半年</w:t>
      </w:r>
      <w:r>
        <w:rPr>
          <w:rStyle w:val="6"/>
          <w:rFonts w:hint="eastAsia" w:ascii="宋体" w:hAnsi="宋体" w:eastAsia="宋体" w:cs="宋体"/>
          <w:color w:val="auto"/>
          <w:szCs w:val="21"/>
          <w:highlight w:val="none"/>
        </w:rPr>
        <w:t>评估报告</w:t>
      </w:r>
      <w:r>
        <w:rPr>
          <w:rStyle w:val="6"/>
          <w:rFonts w:hint="eastAsia" w:ascii="宋体" w:hAnsi="宋体" w:eastAsia="宋体" w:cs="宋体"/>
          <w:color w:val="auto"/>
          <w:szCs w:val="21"/>
          <w:highlight w:val="none"/>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Cs w:val="21"/>
          <w:highlight w:val="none"/>
          <w:lang w:eastAsia="zh-CN"/>
        </w:rPr>
      </w:pPr>
      <w:r>
        <w:rPr>
          <w:rStyle w:val="6"/>
          <w:rFonts w:hint="eastAsia" w:ascii="宋体" w:hAnsi="宋体" w:eastAsia="宋体" w:cs="宋体"/>
          <w:color w:val="auto"/>
          <w:szCs w:val="21"/>
          <w:highlight w:val="none"/>
        </w:rPr>
        <w:t>广州市</w:t>
      </w:r>
      <w:r>
        <w:rPr>
          <w:rStyle w:val="6"/>
          <w:rFonts w:hint="eastAsia" w:ascii="宋体" w:hAnsi="宋体" w:eastAsia="宋体" w:cs="宋体"/>
          <w:color w:val="auto"/>
          <w:szCs w:val="21"/>
          <w:highlight w:val="none"/>
          <w:lang w:val="en-US" w:eastAsia="zh-CN"/>
        </w:rPr>
        <w:t>和</w:t>
      </w:r>
      <w:r>
        <w:rPr>
          <w:rStyle w:val="6"/>
          <w:rFonts w:hint="eastAsia" w:ascii="宋体" w:hAnsi="宋体" w:eastAsia="宋体" w:cs="宋体"/>
          <w:color w:val="auto"/>
          <w:szCs w:val="21"/>
          <w:highlight w:val="none"/>
        </w:rPr>
        <w:t>各区</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lang w:val="en-US" w:eastAsia="zh-CN"/>
        </w:rPr>
        <w:t>含广州空港委</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rPr>
        <w:t>海绵城市建设实施情况年终评估报告</w:t>
      </w:r>
      <w:r>
        <w:rPr>
          <w:rStyle w:val="6"/>
          <w:rFonts w:hint="eastAsia" w:ascii="宋体" w:hAnsi="宋体" w:eastAsia="宋体" w:cs="宋体"/>
          <w:color w:val="auto"/>
          <w:szCs w:val="21"/>
          <w:highlight w:val="none"/>
          <w:lang w:eastAsia="zh-CN"/>
        </w:rPr>
        <w:t>（</w:t>
      </w:r>
      <w:r>
        <w:rPr>
          <w:rStyle w:val="6"/>
          <w:rFonts w:hint="eastAsia" w:ascii="宋体" w:hAnsi="宋体" w:eastAsia="宋体" w:cs="宋体"/>
          <w:color w:val="auto"/>
          <w:szCs w:val="21"/>
          <w:highlight w:val="none"/>
          <w:lang w:val="en-US" w:eastAsia="zh-CN"/>
        </w:rPr>
        <w:t>2022、2023、2024年度</w:t>
      </w:r>
      <w:r>
        <w:rPr>
          <w:rStyle w:val="6"/>
          <w:rFonts w:hint="eastAsia" w:ascii="宋体" w:hAnsi="宋体" w:eastAsia="宋体" w:cs="宋体"/>
          <w:color w:val="auto"/>
          <w:szCs w:val="21"/>
          <w:highlight w:val="none"/>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Cs w:val="21"/>
          <w:highlight w:val="none"/>
          <w:lang w:eastAsia="zh-CN"/>
        </w:rPr>
      </w:pPr>
      <w:r>
        <w:rPr>
          <w:rStyle w:val="6"/>
          <w:rFonts w:hint="eastAsia" w:ascii="宋体" w:hAnsi="宋体" w:eastAsia="宋体" w:cs="宋体"/>
          <w:color w:val="auto"/>
          <w:szCs w:val="21"/>
          <w:highlight w:val="none"/>
        </w:rPr>
        <w:t>系统化全域推进海绵城市建设示范工作报告（</w:t>
      </w:r>
      <w:r>
        <w:rPr>
          <w:rStyle w:val="6"/>
          <w:rFonts w:hint="eastAsia" w:ascii="宋体" w:hAnsi="宋体" w:eastAsia="宋体" w:cs="宋体"/>
          <w:color w:val="auto"/>
          <w:szCs w:val="21"/>
          <w:highlight w:val="none"/>
          <w:lang w:val="en-US" w:eastAsia="zh-CN"/>
        </w:rPr>
        <w:t>2022、2023年度</w:t>
      </w:r>
      <w:r>
        <w:rPr>
          <w:rStyle w:val="6"/>
          <w:rFonts w:hint="eastAsia" w:ascii="宋体" w:hAnsi="宋体" w:eastAsia="宋体" w:cs="宋体"/>
          <w:color w:val="auto"/>
          <w:szCs w:val="21"/>
          <w:highlight w:val="none"/>
        </w:rPr>
        <w:t>）</w:t>
      </w:r>
      <w:r>
        <w:rPr>
          <w:rStyle w:val="6"/>
          <w:rFonts w:hint="eastAsia" w:ascii="宋体" w:hAnsi="宋体" w:eastAsia="宋体" w:cs="宋体"/>
          <w:color w:val="auto"/>
          <w:szCs w:val="21"/>
          <w:highlight w:val="none"/>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Cs w:val="21"/>
          <w:highlight w:val="none"/>
          <w:lang w:eastAsia="zh-CN"/>
        </w:rPr>
      </w:pPr>
      <w:r>
        <w:rPr>
          <w:rStyle w:val="6"/>
          <w:rFonts w:hint="eastAsia" w:ascii="宋体" w:hAnsi="宋体" w:eastAsia="宋体" w:cs="宋体"/>
          <w:color w:val="auto"/>
          <w:szCs w:val="21"/>
          <w:highlight w:val="none"/>
        </w:rPr>
        <w:t>典型案例梳理</w:t>
      </w:r>
      <w:r>
        <w:rPr>
          <w:rStyle w:val="6"/>
          <w:rFonts w:hint="eastAsia" w:ascii="宋体" w:hAnsi="宋体" w:eastAsia="宋体" w:cs="宋体"/>
          <w:color w:val="auto"/>
          <w:szCs w:val="21"/>
          <w:highlight w:val="none"/>
          <w:lang w:val="en-US" w:eastAsia="zh-CN"/>
        </w:rPr>
        <w:t>汇编（2册）；</w:t>
      </w:r>
    </w:p>
    <w:p>
      <w:pPr>
        <w:pStyle w:val="7"/>
        <w:keepNext w:val="0"/>
        <w:keepLines w:val="0"/>
        <w:pageBreakBefore w:val="0"/>
        <w:widowControl/>
        <w:numPr>
          <w:ilvl w:val="0"/>
          <w:numId w:val="5"/>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Cs w:val="21"/>
          <w:highlight w:val="none"/>
          <w:lang w:eastAsia="zh-CN"/>
        </w:rPr>
      </w:pPr>
      <w:r>
        <w:rPr>
          <w:rStyle w:val="6"/>
          <w:rFonts w:hint="eastAsia" w:ascii="宋体" w:hAnsi="宋体" w:eastAsia="宋体" w:cs="宋体"/>
          <w:color w:val="auto"/>
          <w:szCs w:val="21"/>
          <w:highlight w:val="none"/>
        </w:rPr>
        <w:t>国内正规出版社公开发行刊物</w:t>
      </w:r>
      <w:r>
        <w:rPr>
          <w:rStyle w:val="6"/>
          <w:rFonts w:hint="eastAsia" w:ascii="宋体" w:hAnsi="宋体" w:eastAsia="宋体" w:cs="宋体"/>
          <w:color w:val="auto"/>
          <w:szCs w:val="21"/>
          <w:highlight w:val="none"/>
        </w:rPr>
        <w:t>1</w:t>
      </w:r>
      <w:r>
        <w:rPr>
          <w:rStyle w:val="6"/>
          <w:rFonts w:hint="eastAsia" w:ascii="宋体" w:hAnsi="宋体" w:eastAsia="宋体" w:cs="宋体"/>
          <w:color w:val="auto"/>
          <w:szCs w:val="21"/>
          <w:highlight w:val="none"/>
          <w:lang w:val="en-US" w:eastAsia="zh-CN"/>
        </w:rPr>
        <w:t>-2</w:t>
      </w:r>
      <w:r>
        <w:rPr>
          <w:rStyle w:val="6"/>
          <w:rFonts w:hint="eastAsia" w:ascii="宋体" w:hAnsi="宋体" w:eastAsia="宋体" w:cs="宋体"/>
          <w:color w:val="auto"/>
          <w:szCs w:val="21"/>
          <w:highlight w:val="none"/>
        </w:rPr>
        <w:t>册</w:t>
      </w:r>
      <w:r>
        <w:rPr>
          <w:rStyle w:val="6"/>
          <w:rFonts w:hint="eastAsia" w:ascii="宋体" w:hAnsi="宋体" w:eastAsia="宋体" w:cs="宋体"/>
          <w:color w:val="auto"/>
          <w:szCs w:val="21"/>
          <w:highlight w:val="none"/>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Cs w:val="21"/>
          <w:highlight w:val="none"/>
          <w:lang w:val="en-US" w:eastAsia="zh-CN"/>
        </w:rPr>
      </w:pPr>
      <w:r>
        <w:rPr>
          <w:rStyle w:val="6"/>
          <w:rFonts w:hint="eastAsia" w:ascii="宋体" w:hAnsi="宋体" w:eastAsia="宋体" w:cs="宋体"/>
          <w:color w:val="auto"/>
          <w:szCs w:val="21"/>
          <w:highlight w:val="none"/>
          <w:lang w:val="en-US" w:eastAsia="zh-CN"/>
        </w:rPr>
        <w:t>采购人提出的海绵城市建设相关工作成果。</w:t>
      </w:r>
    </w:p>
    <w:p>
      <w:pPr>
        <w:spacing w:line="360" w:lineRule="auto"/>
        <w:rPr>
          <w:b/>
          <w:bCs/>
          <w:color w:val="auto"/>
          <w:highlight w:val="none"/>
        </w:rPr>
      </w:pPr>
      <w:r>
        <w:rPr>
          <w:rFonts w:hint="eastAsia" w:eastAsia="宋体"/>
          <w:b/>
          <w:bCs/>
          <w:color w:val="auto"/>
          <w:highlight w:val="none"/>
          <w:lang w:val="en-US" w:eastAsia="zh-CN"/>
        </w:rPr>
        <w:t>七</w:t>
      </w:r>
      <w:r>
        <w:rPr>
          <w:rFonts w:hint="eastAsia"/>
          <w:b/>
          <w:bCs/>
          <w:color w:val="auto"/>
          <w:highlight w:val="none"/>
        </w:rPr>
        <w:t>、项目团队要求</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Fonts w:hint="default" w:eastAsia="宋体"/>
          <w:b/>
          <w:bCs/>
          <w:color w:val="auto"/>
          <w:highlight w:val="none"/>
          <w:lang w:val="en-US" w:eastAsia="zh-CN"/>
        </w:rPr>
      </w:pPr>
      <w:r>
        <w:rPr>
          <w:rFonts w:hint="eastAsia" w:eastAsia="宋体"/>
          <w:b/>
          <w:bCs/>
          <w:color w:val="auto"/>
          <w:highlight w:val="none"/>
          <w:lang w:val="en-US" w:eastAsia="zh-CN"/>
        </w:rPr>
        <w:t xml:space="preserve">  </w:t>
      </w:r>
    </w:p>
    <w:p>
      <w:pPr>
        <w:spacing w:line="360" w:lineRule="auto"/>
        <w:rPr>
          <w:b/>
          <w:bCs/>
          <w:color w:val="auto"/>
          <w:highlight w:val="none"/>
        </w:rPr>
      </w:pPr>
      <w:r>
        <w:rPr>
          <w:rFonts w:hint="eastAsia" w:eastAsia="宋体"/>
          <w:b/>
          <w:bCs/>
          <w:color w:val="auto"/>
          <w:highlight w:val="none"/>
          <w:lang w:val="en-US" w:eastAsia="zh-CN"/>
        </w:rPr>
        <w:t>八</w:t>
      </w:r>
      <w:r>
        <w:rPr>
          <w:b/>
          <w:bCs/>
          <w:color w:val="auto"/>
          <w:highlight w:val="none"/>
        </w:rPr>
        <w:t>、车辆要求</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Fonts w:hint="eastAsia" w:ascii="宋体" w:hAnsi="宋体" w:eastAsia="宋体" w:cs="宋体"/>
          <w:color w:val="auto"/>
          <w:highlight w:val="none"/>
          <w:lang w:eastAsia="zh-CN"/>
        </w:rPr>
      </w:pPr>
      <w:r>
        <w:rPr>
          <w:rFonts w:hint="eastAsia" w:ascii="宋体" w:hAnsi="宋体"/>
          <w:color w:val="auto"/>
          <w:szCs w:val="21"/>
          <w:highlight w:val="none"/>
          <w:lang w:val="en-US" w:eastAsia="zh-CN"/>
        </w:rPr>
        <w:t>提供的车辆</w:t>
      </w:r>
      <w:r>
        <w:rPr>
          <w:rStyle w:val="6"/>
          <w:rFonts w:hint="eastAsia" w:ascii="宋体" w:hAnsi="宋体" w:eastAsia="宋体" w:cs="宋体"/>
          <w:color w:val="auto"/>
          <w:szCs w:val="21"/>
          <w:highlight w:val="none"/>
          <w:lang w:val="en-US" w:eastAsia="zh-CN"/>
        </w:rPr>
        <w:t>保障</w:t>
      </w:r>
      <w:r>
        <w:rPr>
          <w:rFonts w:hint="eastAsia" w:ascii="宋体" w:hAnsi="宋体"/>
          <w:color w:val="auto"/>
          <w:szCs w:val="21"/>
          <w:highlight w:val="none"/>
          <w:lang w:val="en-US" w:eastAsia="zh-CN"/>
        </w:rPr>
        <w:t>，能</w:t>
      </w:r>
      <w:r>
        <w:rPr>
          <w:rFonts w:hint="eastAsia" w:ascii="宋体" w:hAnsi="宋体" w:cs="宋体"/>
          <w:color w:val="auto"/>
          <w:highlight w:val="none"/>
        </w:rPr>
        <w:t>同时满足2个及以上外业现场</w:t>
      </w:r>
      <w:r>
        <w:rPr>
          <w:rFonts w:hint="eastAsia" w:ascii="宋体" w:hAnsi="宋体" w:cs="宋体"/>
          <w:color w:val="auto"/>
          <w:highlight w:val="none"/>
          <w:lang w:val="en-US" w:eastAsia="zh-CN"/>
        </w:rPr>
        <w:t>工作</w:t>
      </w:r>
      <w:r>
        <w:rPr>
          <w:rFonts w:hint="eastAsia" w:ascii="宋体" w:hAnsi="宋体" w:cs="宋体"/>
          <w:color w:val="auto"/>
          <w:highlight w:val="none"/>
        </w:rPr>
        <w:t>组开展海绵城市建设相关工作。</w:t>
      </w:r>
      <w:r>
        <w:rPr>
          <w:rFonts w:hint="eastAsia" w:ascii="宋体" w:hAnsi="宋体" w:eastAsia="宋体" w:cs="宋体"/>
          <w:color w:val="auto"/>
          <w:highlight w:val="none"/>
          <w:lang w:val="en-US" w:eastAsia="zh-CN"/>
        </w:rPr>
        <w:t xml:space="preserve"> </w:t>
      </w:r>
    </w:p>
    <w:p>
      <w:pPr>
        <w:spacing w:line="360" w:lineRule="auto"/>
        <w:rPr>
          <w:b/>
          <w:bCs/>
          <w:color w:val="auto"/>
          <w:highlight w:val="none"/>
        </w:rPr>
      </w:pPr>
      <w:r>
        <w:rPr>
          <w:rFonts w:hint="eastAsia" w:eastAsia="宋体"/>
          <w:b/>
          <w:bCs/>
          <w:color w:val="auto"/>
          <w:highlight w:val="none"/>
          <w:lang w:val="en-US" w:eastAsia="zh-CN"/>
        </w:rPr>
        <w:t>九</w:t>
      </w:r>
      <w:r>
        <w:rPr>
          <w:b/>
          <w:bCs/>
          <w:color w:val="auto"/>
          <w:highlight w:val="none"/>
        </w:rPr>
        <w:t>、设备要求</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Fonts w:hint="eastAsia"/>
          <w:color w:val="auto"/>
          <w:highlight w:val="none"/>
        </w:rPr>
      </w:pPr>
      <w:r>
        <w:rPr>
          <w:rFonts w:hint="eastAsia" w:eastAsia="宋体"/>
          <w:color w:val="auto"/>
          <w:highlight w:val="none"/>
          <w:lang w:val="en-US" w:eastAsia="zh-CN"/>
        </w:rPr>
        <w:t xml:space="preserve">       </w:t>
      </w:r>
      <w:r>
        <w:rPr>
          <w:rFonts w:hint="eastAsia"/>
          <w:color w:val="auto"/>
          <w:highlight w:val="none"/>
        </w:rPr>
        <w:t>。</w:t>
      </w:r>
    </w:p>
    <w:p>
      <w:pPr>
        <w:spacing w:line="360" w:lineRule="auto"/>
        <w:rPr>
          <w:rFonts w:hint="eastAsia" w:ascii="Times New Roman" w:hAnsi="Times New Roman" w:eastAsia="宋体" w:cs="Times New Roman"/>
          <w:b/>
          <w:bCs/>
          <w:color w:val="auto"/>
          <w:kern w:val="0"/>
          <w:szCs w:val="20"/>
          <w:highlight w:val="none"/>
          <w:lang w:val="en-US" w:eastAsia="zh-CN"/>
        </w:rPr>
      </w:pPr>
      <w:r>
        <w:rPr>
          <w:rFonts w:hint="eastAsia" w:ascii="Times New Roman" w:hAnsi="Times New Roman" w:eastAsia="宋体" w:cs="Times New Roman"/>
          <w:b/>
          <w:bCs/>
          <w:color w:val="auto"/>
          <w:kern w:val="0"/>
          <w:szCs w:val="20"/>
          <w:highlight w:val="none"/>
          <w:lang w:val="en-US" w:eastAsia="zh-CN"/>
        </w:rPr>
        <w:t>十、其他要求</w:t>
      </w:r>
    </w:p>
    <w:p>
      <w:pPr>
        <w:pStyle w:val="2"/>
        <w:spacing w:line="360" w:lineRule="auto"/>
        <w:ind w:left="0" w:leftChars="0" w:firstLine="0" w:firstLineChars="0"/>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 xml:space="preserve">             。</w:t>
      </w:r>
    </w:p>
    <w:p>
      <w:pPr>
        <w:pStyle w:val="2"/>
        <w:spacing w:line="36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rPr>
        <w:t>付款方式</w:t>
      </w:r>
    </w:p>
    <w:p>
      <w:pPr>
        <w:pStyle w:val="7"/>
        <w:keepNext w:val="0"/>
        <w:keepLines w:val="0"/>
        <w:pageBreakBefore w:val="0"/>
        <w:widowControl/>
        <w:kinsoku/>
        <w:wordWrap/>
        <w:overflowPunct/>
        <w:topLinePunct w:val="0"/>
        <w:autoSpaceDE/>
        <w:autoSpaceDN/>
        <w:bidi w:val="0"/>
        <w:adjustRightInd/>
        <w:snapToGrid w:val="0"/>
        <w:spacing w:line="360" w:lineRule="auto"/>
        <w:ind w:firstLine="425"/>
        <w:textAlignment w:val="baseline"/>
        <w:rPr>
          <w:rStyle w:val="6"/>
          <w:rFonts w:hint="eastAsia" w:ascii="宋体" w:hAnsi="宋体" w:eastAsia="宋体" w:cs="宋体"/>
          <w:color w:val="auto"/>
          <w:sz w:val="21"/>
          <w:szCs w:val="21"/>
          <w:highlight w:val="none"/>
        </w:rPr>
      </w:pPr>
      <w:r>
        <w:rPr>
          <w:rStyle w:val="6"/>
          <w:rFonts w:hint="eastAsia" w:ascii="宋体" w:hAnsi="宋体" w:eastAsia="宋体" w:cs="宋体"/>
          <w:color w:val="auto"/>
          <w:sz w:val="21"/>
          <w:szCs w:val="21"/>
          <w:highlight w:val="none"/>
        </w:rPr>
        <w:t>技术</w:t>
      </w:r>
      <w:r>
        <w:rPr>
          <w:rStyle w:val="6"/>
          <w:rFonts w:hint="eastAsia" w:ascii="宋体" w:hAnsi="宋体" w:eastAsia="宋体" w:cs="宋体"/>
          <w:color w:val="auto"/>
          <w:sz w:val="21"/>
          <w:szCs w:val="21"/>
          <w:highlight w:val="none"/>
          <w:lang w:eastAsia="zh-CN"/>
        </w:rPr>
        <w:t>服务</w:t>
      </w:r>
      <w:r>
        <w:rPr>
          <w:rStyle w:val="6"/>
          <w:rFonts w:hint="eastAsia" w:ascii="宋体" w:hAnsi="宋体" w:eastAsia="宋体" w:cs="宋体"/>
          <w:color w:val="auto"/>
          <w:sz w:val="21"/>
          <w:szCs w:val="21"/>
          <w:highlight w:val="none"/>
        </w:rPr>
        <w:t>报酬由采购人分</w:t>
      </w:r>
      <w:r>
        <w:rPr>
          <w:rStyle w:val="6"/>
          <w:rFonts w:hint="eastAsia" w:ascii="宋体" w:hAnsi="宋体" w:eastAsia="宋体" w:cs="宋体"/>
          <w:color w:val="auto"/>
          <w:sz w:val="21"/>
          <w:szCs w:val="21"/>
          <w:highlight w:val="none"/>
          <w:lang w:val="en-US" w:eastAsia="zh-CN"/>
        </w:rPr>
        <w:t>六</w:t>
      </w:r>
      <w:r>
        <w:rPr>
          <w:rStyle w:val="6"/>
          <w:rFonts w:hint="eastAsia" w:ascii="宋体" w:hAnsi="宋体" w:eastAsia="宋体" w:cs="宋体"/>
          <w:color w:val="auto"/>
          <w:sz w:val="21"/>
          <w:szCs w:val="21"/>
          <w:highlight w:val="none"/>
        </w:rPr>
        <w:t>期支付中标供应商。具体支付方式和时间如下：</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lang w:eastAsia="zh-CN"/>
        </w:rPr>
      </w:pPr>
      <w:r>
        <w:rPr>
          <w:rStyle w:val="6"/>
          <w:rFonts w:hint="eastAsia" w:ascii="宋体" w:hAnsi="宋体" w:eastAsia="宋体" w:cs="宋体"/>
          <w:color w:val="auto"/>
          <w:sz w:val="21"/>
          <w:szCs w:val="21"/>
          <w:highlight w:val="none"/>
        </w:rPr>
        <w:t>合同签定后，采购人</w:t>
      </w:r>
      <w:r>
        <w:rPr>
          <w:rStyle w:val="6"/>
          <w:rFonts w:hint="eastAsia" w:ascii="宋体" w:hAnsi="宋体" w:eastAsia="宋体" w:cs="宋体"/>
          <w:color w:val="auto"/>
          <w:sz w:val="21"/>
          <w:szCs w:val="21"/>
          <w:highlight w:val="none"/>
          <w:lang w:val="en-US" w:eastAsia="zh-CN"/>
        </w:rPr>
        <w:t>按财政规定</w:t>
      </w:r>
      <w:r>
        <w:rPr>
          <w:rStyle w:val="6"/>
          <w:rFonts w:hint="eastAsia" w:ascii="宋体" w:hAnsi="宋体" w:eastAsia="宋体" w:cs="宋体"/>
          <w:color w:val="auto"/>
          <w:sz w:val="21"/>
          <w:szCs w:val="21"/>
          <w:highlight w:val="none"/>
        </w:rPr>
        <w:t>向中标供应商支付</w:t>
      </w:r>
      <w:r>
        <w:rPr>
          <w:rStyle w:val="6"/>
          <w:rFonts w:hint="eastAsia" w:ascii="宋体" w:hAnsi="宋体" w:eastAsia="宋体" w:cs="宋体"/>
          <w:color w:val="auto"/>
          <w:sz w:val="21"/>
          <w:szCs w:val="21"/>
          <w:highlight w:val="none"/>
          <w:lang w:val="en-US" w:eastAsia="zh-CN"/>
        </w:rPr>
        <w:t>不超过</w:t>
      </w:r>
      <w:r>
        <w:rPr>
          <w:rStyle w:val="6"/>
          <w:rFonts w:hint="eastAsia" w:ascii="宋体" w:hAnsi="宋体" w:eastAsia="宋体" w:cs="宋体"/>
          <w:color w:val="auto"/>
          <w:sz w:val="21"/>
          <w:szCs w:val="21"/>
          <w:highlight w:val="none"/>
        </w:rPr>
        <w:t xml:space="preserve">合同总额 </w:t>
      </w:r>
      <w:r>
        <w:rPr>
          <w:rStyle w:val="6"/>
          <w:rFonts w:hint="eastAsia" w:ascii="宋体" w:hAnsi="宋体" w:eastAsia="宋体" w:cs="宋体"/>
          <w:color w:val="auto"/>
          <w:sz w:val="21"/>
          <w:szCs w:val="21"/>
          <w:highlight w:val="none"/>
          <w:lang w:val="en-US" w:eastAsia="zh-CN"/>
        </w:rPr>
        <w:t>15</w:t>
      </w:r>
      <w:r>
        <w:rPr>
          <w:rStyle w:val="6"/>
          <w:rFonts w:hint="eastAsia" w:ascii="宋体" w:hAnsi="宋体" w:eastAsia="宋体" w:cs="宋体"/>
          <w:color w:val="auto"/>
          <w:sz w:val="21"/>
          <w:szCs w:val="21"/>
          <w:highlight w:val="none"/>
        </w:rPr>
        <w:t xml:space="preserve"> </w:t>
      </w:r>
      <w:r>
        <w:rPr>
          <w:rStyle w:val="6"/>
          <w:rFonts w:hint="eastAsia" w:ascii="宋体" w:hAnsi="宋体" w:eastAsia="宋体" w:cs="宋体"/>
          <w:color w:val="auto"/>
          <w:sz w:val="21"/>
          <w:szCs w:val="21"/>
          <w:highlight w:val="none"/>
        </w:rPr>
        <w:t>%</w:t>
      </w:r>
      <w:r>
        <w:rPr>
          <w:rStyle w:val="6"/>
          <w:rFonts w:hint="eastAsia" w:ascii="宋体" w:hAnsi="宋体" w:eastAsia="宋体" w:cs="宋体"/>
          <w:color w:val="auto"/>
          <w:sz w:val="21"/>
          <w:szCs w:val="21"/>
          <w:highlight w:val="none"/>
          <w:lang w:val="en-US" w:eastAsia="zh-CN"/>
        </w:rPr>
        <w:t>的费用</w:t>
      </w:r>
      <w:r>
        <w:rPr>
          <w:rStyle w:val="6"/>
          <w:rFonts w:hint="eastAsia" w:ascii="宋体" w:hAnsi="宋体" w:eastAsia="宋体" w:cs="宋体"/>
          <w:color w:val="auto"/>
          <w:sz w:val="21"/>
          <w:szCs w:val="21"/>
          <w:highlight w:val="none"/>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lang w:eastAsia="zh-CN"/>
        </w:rPr>
      </w:pPr>
      <w:r>
        <w:rPr>
          <w:rStyle w:val="6"/>
          <w:rFonts w:hint="eastAsia" w:ascii="宋体" w:hAnsi="宋体" w:eastAsia="宋体" w:cs="宋体"/>
          <w:color w:val="auto"/>
          <w:sz w:val="21"/>
          <w:szCs w:val="21"/>
          <w:highlight w:val="none"/>
        </w:rPr>
        <w:t>中标供应商根据采购人进度要求完成相关工作，并通过</w:t>
      </w:r>
      <w:r>
        <w:rPr>
          <w:rStyle w:val="6"/>
          <w:rFonts w:hint="eastAsia" w:ascii="宋体" w:hAnsi="宋体" w:eastAsia="宋体" w:cs="宋体"/>
          <w:color w:val="auto"/>
          <w:sz w:val="21"/>
          <w:szCs w:val="21"/>
          <w:highlight w:val="none"/>
          <w:lang w:val="en-US" w:eastAsia="zh-CN"/>
        </w:rPr>
        <w:t>采购人</w:t>
      </w:r>
      <w:r>
        <w:rPr>
          <w:rStyle w:val="6"/>
          <w:rFonts w:hint="eastAsia" w:ascii="宋体" w:hAnsi="宋体" w:eastAsia="宋体" w:cs="宋体"/>
          <w:color w:val="auto"/>
          <w:sz w:val="21"/>
          <w:szCs w:val="21"/>
          <w:highlight w:val="none"/>
        </w:rPr>
        <w:t>成果验收，采购人</w:t>
      </w:r>
      <w:r>
        <w:rPr>
          <w:rStyle w:val="6"/>
          <w:rFonts w:hint="eastAsia" w:ascii="宋体" w:hAnsi="宋体" w:eastAsia="宋体" w:cs="宋体"/>
          <w:color w:val="auto"/>
          <w:sz w:val="21"/>
          <w:szCs w:val="21"/>
          <w:highlight w:val="none"/>
          <w:lang w:val="en-US" w:eastAsia="zh-CN"/>
        </w:rPr>
        <w:t>按财政规定</w:t>
      </w:r>
      <w:r>
        <w:rPr>
          <w:rStyle w:val="6"/>
          <w:rFonts w:hint="eastAsia" w:ascii="宋体" w:hAnsi="宋体" w:eastAsia="宋体" w:cs="宋体"/>
          <w:color w:val="auto"/>
          <w:sz w:val="21"/>
          <w:szCs w:val="21"/>
          <w:highlight w:val="none"/>
        </w:rPr>
        <w:t>向中标供应商支付</w:t>
      </w:r>
      <w:r>
        <w:rPr>
          <w:rStyle w:val="6"/>
          <w:rFonts w:hint="eastAsia" w:ascii="宋体" w:hAnsi="宋体" w:eastAsia="宋体" w:cs="宋体"/>
          <w:color w:val="auto"/>
          <w:sz w:val="21"/>
          <w:szCs w:val="21"/>
          <w:highlight w:val="none"/>
          <w:lang w:val="en-US" w:eastAsia="zh-CN"/>
        </w:rPr>
        <w:t>不超过</w:t>
      </w:r>
      <w:r>
        <w:rPr>
          <w:rStyle w:val="6"/>
          <w:rFonts w:hint="eastAsia" w:ascii="宋体" w:hAnsi="宋体" w:eastAsia="宋体" w:cs="宋体"/>
          <w:color w:val="auto"/>
          <w:sz w:val="21"/>
          <w:szCs w:val="21"/>
          <w:highlight w:val="none"/>
        </w:rPr>
        <w:t>合同总额</w:t>
      </w:r>
      <w:r>
        <w:rPr>
          <w:rStyle w:val="6"/>
          <w:rFonts w:hint="eastAsia" w:ascii="宋体" w:hAnsi="宋体" w:eastAsia="宋体" w:cs="宋体"/>
          <w:color w:val="auto"/>
          <w:sz w:val="21"/>
          <w:szCs w:val="21"/>
          <w:highlight w:val="none"/>
          <w:lang w:val="en-US" w:eastAsia="zh-CN"/>
        </w:rPr>
        <w:t>10</w:t>
      </w:r>
      <w:r>
        <w:rPr>
          <w:rStyle w:val="6"/>
          <w:rFonts w:hint="eastAsia" w:ascii="宋体" w:hAnsi="宋体" w:eastAsia="宋体" w:cs="宋体"/>
          <w:color w:val="auto"/>
          <w:sz w:val="21"/>
          <w:szCs w:val="21"/>
          <w:highlight w:val="none"/>
        </w:rPr>
        <w:t xml:space="preserve"> </w:t>
      </w:r>
      <w:r>
        <w:rPr>
          <w:rStyle w:val="6"/>
          <w:rFonts w:hint="eastAsia" w:ascii="宋体" w:hAnsi="宋体" w:eastAsia="宋体" w:cs="宋体"/>
          <w:color w:val="auto"/>
          <w:sz w:val="21"/>
          <w:szCs w:val="21"/>
          <w:highlight w:val="none"/>
        </w:rPr>
        <w:t>%</w:t>
      </w:r>
      <w:r>
        <w:rPr>
          <w:rStyle w:val="6"/>
          <w:rFonts w:hint="eastAsia" w:ascii="宋体" w:hAnsi="宋体" w:eastAsia="宋体" w:cs="宋体"/>
          <w:color w:val="auto"/>
          <w:sz w:val="21"/>
          <w:szCs w:val="21"/>
          <w:highlight w:val="none"/>
          <w:lang w:val="en-US" w:eastAsia="zh-CN"/>
        </w:rPr>
        <w:t>的费用</w:t>
      </w:r>
      <w:r>
        <w:rPr>
          <w:rStyle w:val="6"/>
          <w:rFonts w:hint="eastAsia" w:ascii="宋体" w:hAnsi="宋体" w:eastAsia="宋体" w:cs="宋体"/>
          <w:color w:val="auto"/>
          <w:sz w:val="21"/>
          <w:szCs w:val="21"/>
          <w:highlight w:val="none"/>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lang w:eastAsia="zh-CN"/>
        </w:rPr>
      </w:pPr>
      <w:r>
        <w:rPr>
          <w:rStyle w:val="6"/>
          <w:rFonts w:hint="eastAsia" w:ascii="宋体" w:hAnsi="宋体" w:eastAsia="宋体" w:cs="宋体"/>
          <w:color w:val="auto"/>
          <w:sz w:val="21"/>
          <w:szCs w:val="21"/>
          <w:highlight w:val="none"/>
          <w:lang w:val="en-US" w:eastAsia="zh-CN"/>
        </w:rPr>
        <w:t>2023年预算资金下达后，</w:t>
      </w:r>
      <w:r>
        <w:rPr>
          <w:rStyle w:val="6"/>
          <w:rFonts w:hint="eastAsia" w:ascii="宋体" w:hAnsi="宋体" w:eastAsia="宋体" w:cs="宋体"/>
          <w:color w:val="auto"/>
          <w:sz w:val="21"/>
          <w:szCs w:val="21"/>
          <w:highlight w:val="none"/>
        </w:rPr>
        <w:t>中标供应商根据采购人进度要求完成相关工作，并通过</w:t>
      </w:r>
      <w:r>
        <w:rPr>
          <w:rStyle w:val="6"/>
          <w:rFonts w:hint="eastAsia" w:ascii="宋体" w:hAnsi="宋体" w:eastAsia="宋体" w:cs="宋体"/>
          <w:color w:val="auto"/>
          <w:sz w:val="21"/>
          <w:szCs w:val="21"/>
          <w:highlight w:val="none"/>
          <w:lang w:val="en-US" w:eastAsia="zh-CN"/>
        </w:rPr>
        <w:t>采购人</w:t>
      </w:r>
      <w:r>
        <w:rPr>
          <w:rStyle w:val="6"/>
          <w:rFonts w:hint="eastAsia" w:ascii="宋体" w:hAnsi="宋体" w:eastAsia="宋体" w:cs="宋体"/>
          <w:color w:val="auto"/>
          <w:sz w:val="21"/>
          <w:szCs w:val="21"/>
          <w:highlight w:val="none"/>
        </w:rPr>
        <w:t>成果验收，采购人</w:t>
      </w:r>
      <w:r>
        <w:rPr>
          <w:rStyle w:val="6"/>
          <w:rFonts w:hint="eastAsia" w:ascii="宋体" w:hAnsi="宋体" w:eastAsia="宋体" w:cs="宋体"/>
          <w:color w:val="auto"/>
          <w:sz w:val="21"/>
          <w:szCs w:val="21"/>
          <w:highlight w:val="none"/>
          <w:lang w:val="en-US" w:eastAsia="zh-CN"/>
        </w:rPr>
        <w:t>按财政规定</w:t>
      </w:r>
      <w:r>
        <w:rPr>
          <w:rStyle w:val="6"/>
          <w:rFonts w:hint="eastAsia" w:ascii="宋体" w:hAnsi="宋体" w:eastAsia="宋体" w:cs="宋体"/>
          <w:color w:val="auto"/>
          <w:sz w:val="21"/>
          <w:szCs w:val="21"/>
          <w:highlight w:val="none"/>
        </w:rPr>
        <w:t>向中标供应商支付</w:t>
      </w:r>
      <w:r>
        <w:rPr>
          <w:rStyle w:val="6"/>
          <w:rFonts w:hint="eastAsia" w:ascii="宋体" w:hAnsi="宋体" w:eastAsia="宋体" w:cs="宋体"/>
          <w:color w:val="auto"/>
          <w:sz w:val="21"/>
          <w:szCs w:val="21"/>
          <w:highlight w:val="none"/>
          <w:lang w:val="en-US" w:eastAsia="zh-CN"/>
        </w:rPr>
        <w:t>不超过</w:t>
      </w:r>
      <w:r>
        <w:rPr>
          <w:rStyle w:val="6"/>
          <w:rFonts w:hint="eastAsia" w:ascii="宋体" w:hAnsi="宋体" w:eastAsia="宋体" w:cs="宋体"/>
          <w:color w:val="auto"/>
          <w:sz w:val="21"/>
          <w:szCs w:val="21"/>
          <w:highlight w:val="none"/>
        </w:rPr>
        <w:t>合同总额</w:t>
      </w:r>
      <w:r>
        <w:rPr>
          <w:rStyle w:val="6"/>
          <w:rFonts w:hint="eastAsia" w:ascii="宋体" w:hAnsi="宋体" w:eastAsia="宋体" w:cs="宋体"/>
          <w:color w:val="auto"/>
          <w:sz w:val="21"/>
          <w:szCs w:val="21"/>
          <w:highlight w:val="none"/>
          <w:lang w:val="en-US" w:eastAsia="zh-CN"/>
        </w:rPr>
        <w:t>20</w:t>
      </w:r>
      <w:r>
        <w:rPr>
          <w:rStyle w:val="6"/>
          <w:rFonts w:hint="eastAsia" w:ascii="宋体" w:hAnsi="宋体" w:eastAsia="宋体" w:cs="宋体"/>
          <w:color w:val="auto"/>
          <w:sz w:val="21"/>
          <w:szCs w:val="21"/>
          <w:highlight w:val="none"/>
        </w:rPr>
        <w:t xml:space="preserve"> %</w:t>
      </w:r>
      <w:r>
        <w:rPr>
          <w:rStyle w:val="6"/>
          <w:rFonts w:hint="eastAsia" w:ascii="宋体" w:hAnsi="宋体" w:eastAsia="宋体" w:cs="宋体"/>
          <w:color w:val="auto"/>
          <w:sz w:val="21"/>
          <w:szCs w:val="21"/>
          <w:highlight w:val="none"/>
          <w:lang w:val="en-US" w:eastAsia="zh-CN"/>
        </w:rPr>
        <w:t>的费用</w:t>
      </w:r>
      <w:r>
        <w:rPr>
          <w:rStyle w:val="6"/>
          <w:rFonts w:hint="eastAsia" w:ascii="宋体" w:hAnsi="宋体" w:eastAsia="宋体" w:cs="宋体"/>
          <w:color w:val="auto"/>
          <w:sz w:val="21"/>
          <w:szCs w:val="21"/>
          <w:highlight w:val="none"/>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lang w:eastAsia="zh-CN"/>
        </w:rPr>
      </w:pPr>
      <w:r>
        <w:rPr>
          <w:rStyle w:val="6"/>
          <w:rFonts w:hint="eastAsia" w:ascii="宋体" w:hAnsi="宋体" w:eastAsia="宋体" w:cs="宋体"/>
          <w:color w:val="auto"/>
          <w:sz w:val="21"/>
          <w:szCs w:val="21"/>
          <w:highlight w:val="none"/>
          <w:lang w:eastAsia="zh-CN"/>
        </w:rPr>
        <w:t>中</w:t>
      </w:r>
      <w:r>
        <w:rPr>
          <w:rStyle w:val="6"/>
          <w:rFonts w:hint="eastAsia" w:ascii="宋体" w:hAnsi="宋体" w:eastAsia="宋体" w:cs="宋体"/>
          <w:color w:val="auto"/>
          <w:sz w:val="21"/>
          <w:szCs w:val="21"/>
          <w:highlight w:val="none"/>
        </w:rPr>
        <w:t>标供应商根据采购人进度要求完成相关工作，并通过</w:t>
      </w:r>
      <w:r>
        <w:rPr>
          <w:rStyle w:val="6"/>
          <w:rFonts w:hint="eastAsia" w:ascii="宋体" w:hAnsi="宋体" w:eastAsia="宋体" w:cs="宋体"/>
          <w:color w:val="auto"/>
          <w:sz w:val="21"/>
          <w:szCs w:val="21"/>
          <w:highlight w:val="none"/>
          <w:lang w:val="en-US" w:eastAsia="zh-CN"/>
        </w:rPr>
        <w:t>采购人</w:t>
      </w:r>
      <w:r>
        <w:rPr>
          <w:rStyle w:val="6"/>
          <w:rFonts w:hint="eastAsia" w:ascii="宋体" w:hAnsi="宋体" w:eastAsia="宋体" w:cs="宋体"/>
          <w:color w:val="auto"/>
          <w:sz w:val="21"/>
          <w:szCs w:val="21"/>
          <w:highlight w:val="none"/>
        </w:rPr>
        <w:t>成果验收，采购人</w:t>
      </w:r>
      <w:r>
        <w:rPr>
          <w:rStyle w:val="6"/>
          <w:rFonts w:hint="eastAsia" w:ascii="宋体" w:hAnsi="宋体" w:eastAsia="宋体" w:cs="宋体"/>
          <w:color w:val="auto"/>
          <w:sz w:val="21"/>
          <w:szCs w:val="21"/>
          <w:highlight w:val="none"/>
          <w:lang w:val="en-US" w:eastAsia="zh-CN"/>
        </w:rPr>
        <w:t>按财政规定</w:t>
      </w:r>
      <w:r>
        <w:rPr>
          <w:rStyle w:val="6"/>
          <w:rFonts w:hint="eastAsia" w:ascii="宋体" w:hAnsi="宋体" w:eastAsia="宋体" w:cs="宋体"/>
          <w:color w:val="auto"/>
          <w:sz w:val="21"/>
          <w:szCs w:val="21"/>
          <w:highlight w:val="none"/>
        </w:rPr>
        <w:t>向中标供应商支付</w:t>
      </w:r>
      <w:r>
        <w:rPr>
          <w:rStyle w:val="6"/>
          <w:rFonts w:hint="eastAsia" w:ascii="宋体" w:hAnsi="宋体" w:eastAsia="宋体" w:cs="宋体"/>
          <w:color w:val="auto"/>
          <w:sz w:val="21"/>
          <w:szCs w:val="21"/>
          <w:highlight w:val="none"/>
          <w:lang w:val="en-US" w:eastAsia="zh-CN"/>
        </w:rPr>
        <w:t>不超过</w:t>
      </w:r>
      <w:r>
        <w:rPr>
          <w:rStyle w:val="6"/>
          <w:rFonts w:hint="eastAsia" w:ascii="宋体" w:hAnsi="宋体" w:eastAsia="宋体" w:cs="宋体"/>
          <w:color w:val="auto"/>
          <w:sz w:val="21"/>
          <w:szCs w:val="21"/>
          <w:highlight w:val="none"/>
        </w:rPr>
        <w:t>合同总额</w:t>
      </w:r>
      <w:r>
        <w:rPr>
          <w:rStyle w:val="6"/>
          <w:rFonts w:hint="eastAsia" w:ascii="宋体" w:hAnsi="宋体" w:eastAsia="宋体" w:cs="宋体"/>
          <w:color w:val="auto"/>
          <w:sz w:val="21"/>
          <w:szCs w:val="21"/>
          <w:highlight w:val="none"/>
          <w:lang w:val="en-US" w:eastAsia="zh-CN"/>
        </w:rPr>
        <w:t>30</w:t>
      </w:r>
      <w:r>
        <w:rPr>
          <w:rStyle w:val="6"/>
          <w:rFonts w:hint="eastAsia" w:ascii="宋体" w:hAnsi="宋体" w:eastAsia="宋体" w:cs="宋体"/>
          <w:color w:val="auto"/>
          <w:sz w:val="21"/>
          <w:szCs w:val="21"/>
          <w:highlight w:val="none"/>
        </w:rPr>
        <w:t xml:space="preserve"> %</w:t>
      </w:r>
      <w:r>
        <w:rPr>
          <w:rStyle w:val="6"/>
          <w:rFonts w:hint="eastAsia" w:ascii="宋体" w:hAnsi="宋体" w:eastAsia="宋体" w:cs="宋体"/>
          <w:color w:val="auto"/>
          <w:sz w:val="21"/>
          <w:szCs w:val="21"/>
          <w:highlight w:val="none"/>
          <w:lang w:val="en-US" w:eastAsia="zh-CN"/>
        </w:rPr>
        <w:t>的费用</w:t>
      </w:r>
      <w:r>
        <w:rPr>
          <w:rStyle w:val="6"/>
          <w:rFonts w:hint="eastAsia" w:ascii="宋体" w:hAnsi="宋体" w:eastAsia="宋体" w:cs="宋体"/>
          <w:color w:val="auto"/>
          <w:sz w:val="21"/>
          <w:szCs w:val="21"/>
          <w:highlight w:val="none"/>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lang w:eastAsia="zh-CN"/>
        </w:rPr>
      </w:pPr>
      <w:r>
        <w:rPr>
          <w:rStyle w:val="6"/>
          <w:rFonts w:hint="eastAsia" w:ascii="宋体" w:hAnsi="宋体" w:eastAsia="宋体" w:cs="宋体"/>
          <w:color w:val="auto"/>
          <w:sz w:val="21"/>
          <w:szCs w:val="21"/>
          <w:highlight w:val="none"/>
          <w:lang w:val="en-US" w:eastAsia="zh-CN"/>
        </w:rPr>
        <w:t>2024年预算资金下达后，中</w:t>
      </w:r>
      <w:r>
        <w:rPr>
          <w:rStyle w:val="6"/>
          <w:rFonts w:hint="eastAsia" w:ascii="宋体" w:hAnsi="宋体" w:eastAsia="宋体" w:cs="宋体"/>
          <w:color w:val="auto"/>
          <w:sz w:val="21"/>
          <w:szCs w:val="21"/>
          <w:highlight w:val="none"/>
        </w:rPr>
        <w:t>标供应商根据采购人进度要求完成相关工作，并通过</w:t>
      </w:r>
      <w:r>
        <w:rPr>
          <w:rStyle w:val="6"/>
          <w:rFonts w:hint="eastAsia" w:ascii="宋体" w:hAnsi="宋体" w:eastAsia="宋体" w:cs="宋体"/>
          <w:color w:val="auto"/>
          <w:sz w:val="21"/>
          <w:szCs w:val="21"/>
          <w:highlight w:val="none"/>
          <w:lang w:val="en-US" w:eastAsia="zh-CN"/>
        </w:rPr>
        <w:t>采购人</w:t>
      </w:r>
      <w:r>
        <w:rPr>
          <w:rStyle w:val="6"/>
          <w:rFonts w:hint="eastAsia" w:ascii="宋体" w:hAnsi="宋体" w:eastAsia="宋体" w:cs="宋体"/>
          <w:color w:val="auto"/>
          <w:sz w:val="21"/>
          <w:szCs w:val="21"/>
          <w:highlight w:val="none"/>
        </w:rPr>
        <w:t>成果验收，采购人</w:t>
      </w:r>
      <w:r>
        <w:rPr>
          <w:rStyle w:val="6"/>
          <w:rFonts w:hint="eastAsia" w:ascii="宋体" w:hAnsi="宋体" w:eastAsia="宋体" w:cs="宋体"/>
          <w:color w:val="auto"/>
          <w:sz w:val="21"/>
          <w:szCs w:val="21"/>
          <w:highlight w:val="none"/>
          <w:lang w:val="en-US" w:eastAsia="zh-CN"/>
        </w:rPr>
        <w:t>按财政规定</w:t>
      </w:r>
      <w:r>
        <w:rPr>
          <w:rStyle w:val="6"/>
          <w:rFonts w:hint="eastAsia" w:ascii="宋体" w:hAnsi="宋体" w:eastAsia="宋体" w:cs="宋体"/>
          <w:color w:val="auto"/>
          <w:sz w:val="21"/>
          <w:szCs w:val="21"/>
          <w:highlight w:val="none"/>
        </w:rPr>
        <w:t>向中标供应商支付</w:t>
      </w:r>
      <w:r>
        <w:rPr>
          <w:rStyle w:val="6"/>
          <w:rFonts w:hint="eastAsia" w:ascii="宋体" w:hAnsi="宋体" w:eastAsia="宋体" w:cs="宋体"/>
          <w:color w:val="auto"/>
          <w:sz w:val="21"/>
          <w:szCs w:val="21"/>
          <w:highlight w:val="none"/>
          <w:lang w:val="en-US" w:eastAsia="zh-CN"/>
        </w:rPr>
        <w:t>不超过</w:t>
      </w:r>
      <w:r>
        <w:rPr>
          <w:rStyle w:val="6"/>
          <w:rFonts w:hint="eastAsia" w:ascii="宋体" w:hAnsi="宋体" w:eastAsia="宋体" w:cs="宋体"/>
          <w:color w:val="auto"/>
          <w:sz w:val="21"/>
          <w:szCs w:val="21"/>
          <w:highlight w:val="none"/>
        </w:rPr>
        <w:t>合同总额</w:t>
      </w:r>
      <w:r>
        <w:rPr>
          <w:rStyle w:val="6"/>
          <w:rFonts w:hint="eastAsia" w:ascii="宋体" w:hAnsi="宋体" w:eastAsia="宋体" w:cs="宋体"/>
          <w:color w:val="auto"/>
          <w:sz w:val="21"/>
          <w:szCs w:val="21"/>
          <w:highlight w:val="none"/>
          <w:lang w:val="en-US" w:eastAsia="zh-CN"/>
        </w:rPr>
        <w:t>20</w:t>
      </w:r>
      <w:r>
        <w:rPr>
          <w:rStyle w:val="6"/>
          <w:rFonts w:hint="eastAsia" w:ascii="宋体" w:hAnsi="宋体" w:eastAsia="宋体" w:cs="宋体"/>
          <w:color w:val="auto"/>
          <w:sz w:val="21"/>
          <w:szCs w:val="21"/>
          <w:highlight w:val="none"/>
        </w:rPr>
        <w:t xml:space="preserve"> %</w:t>
      </w:r>
      <w:r>
        <w:rPr>
          <w:rStyle w:val="6"/>
          <w:rFonts w:hint="eastAsia" w:ascii="宋体" w:hAnsi="宋体" w:eastAsia="宋体" w:cs="宋体"/>
          <w:color w:val="auto"/>
          <w:sz w:val="21"/>
          <w:szCs w:val="21"/>
          <w:highlight w:val="none"/>
          <w:lang w:val="en-US" w:eastAsia="zh-CN"/>
        </w:rPr>
        <w:t>的费用</w:t>
      </w:r>
      <w:r>
        <w:rPr>
          <w:rStyle w:val="6"/>
          <w:rFonts w:hint="eastAsia" w:ascii="宋体" w:hAnsi="宋体" w:eastAsia="宋体" w:cs="宋体"/>
          <w:color w:val="auto"/>
          <w:sz w:val="21"/>
          <w:szCs w:val="21"/>
          <w:highlight w:val="none"/>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lang w:eastAsia="zh-CN"/>
        </w:rPr>
      </w:pPr>
      <w:r>
        <w:rPr>
          <w:rStyle w:val="6"/>
          <w:rFonts w:hint="eastAsia" w:ascii="宋体" w:hAnsi="宋体" w:eastAsia="宋体" w:cs="宋体"/>
          <w:color w:val="auto"/>
          <w:sz w:val="21"/>
          <w:szCs w:val="21"/>
          <w:highlight w:val="none"/>
          <w:lang w:val="en-US" w:eastAsia="zh-CN"/>
        </w:rPr>
        <w:t>2025年预算资金下达后，中标供应商完成合同约定的工作任务后，</w:t>
      </w:r>
      <w:r>
        <w:rPr>
          <w:rStyle w:val="6"/>
          <w:rFonts w:hint="eastAsia" w:ascii="宋体" w:hAnsi="宋体" w:eastAsia="宋体" w:cs="宋体"/>
          <w:color w:val="auto"/>
          <w:sz w:val="21"/>
          <w:szCs w:val="21"/>
          <w:highlight w:val="none"/>
        </w:rPr>
        <w:t>采购人</w:t>
      </w:r>
      <w:r>
        <w:rPr>
          <w:rStyle w:val="6"/>
          <w:rFonts w:hint="eastAsia" w:ascii="宋体" w:hAnsi="宋体" w:eastAsia="宋体" w:cs="宋体"/>
          <w:color w:val="auto"/>
          <w:sz w:val="21"/>
          <w:szCs w:val="21"/>
          <w:highlight w:val="none"/>
          <w:lang w:val="en-US" w:eastAsia="zh-CN"/>
        </w:rPr>
        <w:t>按财政规定</w:t>
      </w:r>
      <w:r>
        <w:rPr>
          <w:rStyle w:val="6"/>
          <w:rFonts w:hint="eastAsia" w:ascii="宋体" w:hAnsi="宋体" w:eastAsia="宋体" w:cs="宋体"/>
          <w:color w:val="auto"/>
          <w:sz w:val="21"/>
          <w:szCs w:val="21"/>
          <w:highlight w:val="none"/>
        </w:rPr>
        <w:t>向中标供应商支付余款</w:t>
      </w:r>
      <w:r>
        <w:rPr>
          <w:rStyle w:val="6"/>
          <w:rFonts w:hint="eastAsia" w:ascii="宋体" w:hAnsi="宋体" w:eastAsia="宋体" w:cs="宋体"/>
          <w:color w:val="auto"/>
          <w:sz w:val="21"/>
          <w:szCs w:val="21"/>
          <w:highlight w:val="none"/>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rPr>
      </w:pPr>
      <w:r>
        <w:rPr>
          <w:rStyle w:val="6"/>
          <w:rFonts w:hint="eastAsia" w:ascii="宋体" w:hAnsi="宋体" w:eastAsia="宋体" w:cs="宋体"/>
          <w:color w:val="auto"/>
          <w:sz w:val="21"/>
          <w:szCs w:val="21"/>
          <w:highlight w:val="none"/>
        </w:rPr>
        <w:t>前述付款时间应理解为采购人向广州市财政部门申请支付款项的时间，具体付款时间以财政资金支付到位时为准，中标供应商不得以财政资金未及时支付要求采购人</w:t>
      </w:r>
      <w:r>
        <w:rPr>
          <w:rStyle w:val="6"/>
          <w:rFonts w:hint="eastAsia" w:ascii="宋体" w:hAnsi="宋体" w:eastAsia="宋体" w:cs="宋体"/>
          <w:color w:val="auto"/>
          <w:sz w:val="21"/>
          <w:szCs w:val="21"/>
          <w:highlight w:val="none"/>
          <w:lang w:val="en-US" w:eastAsia="zh-CN"/>
        </w:rPr>
        <w:t>承担</w:t>
      </w:r>
      <w:r>
        <w:rPr>
          <w:rStyle w:val="6"/>
          <w:rFonts w:hint="eastAsia" w:ascii="宋体" w:hAnsi="宋体" w:eastAsia="宋体" w:cs="宋体"/>
          <w:color w:val="auto"/>
          <w:sz w:val="21"/>
          <w:szCs w:val="21"/>
          <w:highlight w:val="none"/>
        </w:rPr>
        <w:t>逾期付款的责任。</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rPr>
      </w:pPr>
      <w:r>
        <w:rPr>
          <w:rStyle w:val="6"/>
          <w:rFonts w:hint="eastAsia" w:ascii="宋体" w:hAnsi="宋体" w:eastAsia="宋体" w:cs="宋体"/>
          <w:color w:val="auto"/>
          <w:sz w:val="21"/>
          <w:szCs w:val="21"/>
          <w:highlight w:val="none"/>
        </w:rPr>
        <w:t>每一次款项的支付，中标供应商需分别向采购人提交合法有效的等额正式发票及合同复印件，中标供应商提供申请付款资料不符合要求的，责任由中标供应商自负。</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rPr>
      </w:pPr>
      <w:r>
        <w:rPr>
          <w:rStyle w:val="6"/>
          <w:rFonts w:hint="eastAsia" w:ascii="宋体" w:hAnsi="宋体" w:eastAsia="宋体" w:cs="宋体"/>
          <w:color w:val="auto"/>
          <w:sz w:val="21"/>
          <w:szCs w:val="21"/>
          <w:highlight w:val="none"/>
        </w:rPr>
        <w:t>对以上约定的支付进度及节点要求，若中标供应商已完成相关任务要求，但相应款项在采购人年度资金计划未能安排，则支付延期至下一年度采购人部门预算计划下达并经采购人审核后完成。</w:t>
      </w:r>
    </w:p>
    <w:p>
      <w:pPr>
        <w:pStyle w:val="7"/>
        <w:keepNext w:val="0"/>
        <w:keepLines w:val="0"/>
        <w:pageBreakBefore w:val="0"/>
        <w:widowControl/>
        <w:numPr>
          <w:ilvl w:val="0"/>
          <w:numId w:val="6"/>
        </w:numPr>
        <w:kinsoku/>
        <w:wordWrap/>
        <w:overflowPunct/>
        <w:topLinePunct w:val="0"/>
        <w:autoSpaceDE/>
        <w:autoSpaceDN/>
        <w:bidi w:val="0"/>
        <w:adjustRightInd/>
        <w:snapToGrid w:val="0"/>
        <w:spacing w:line="360" w:lineRule="auto"/>
        <w:ind w:left="0" w:leftChars="0" w:firstLine="425" w:firstLineChars="0"/>
        <w:textAlignment w:val="baseline"/>
        <w:rPr>
          <w:rStyle w:val="6"/>
          <w:rFonts w:hint="eastAsia" w:ascii="宋体" w:hAnsi="宋体" w:eastAsia="宋体" w:cs="宋体"/>
          <w:color w:val="auto"/>
          <w:sz w:val="21"/>
          <w:szCs w:val="21"/>
          <w:highlight w:val="none"/>
        </w:rPr>
      </w:pPr>
      <w:r>
        <w:rPr>
          <w:rStyle w:val="6"/>
          <w:rFonts w:hint="eastAsia" w:ascii="宋体" w:hAnsi="宋体" w:eastAsia="宋体" w:cs="宋体"/>
          <w:color w:val="auto"/>
          <w:sz w:val="21"/>
          <w:szCs w:val="21"/>
          <w:highlight w:val="none"/>
        </w:rPr>
        <w:t>采购人支付前有权扣除相应的违约金和赔偿金等费用，但应事先通知中标供应商知晓。</w:t>
      </w:r>
    </w:p>
    <w:p>
      <w:pPr>
        <w:pStyle w:val="2"/>
        <w:spacing w:line="36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十二、</w:t>
      </w:r>
      <w:r>
        <w:rPr>
          <w:rFonts w:hint="eastAsia" w:ascii="宋体" w:hAnsi="宋体" w:eastAsia="宋体" w:cs="宋体"/>
          <w:b/>
          <w:bCs/>
          <w:color w:val="auto"/>
          <w:sz w:val="21"/>
          <w:szCs w:val="21"/>
          <w:highlight w:val="none"/>
        </w:rPr>
        <w:t>验收要求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工作成果的验收标准：根据有关法律、法规、规程、规范的要求。</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成果通过采购人组织的评审</w:t>
      </w:r>
      <w:r>
        <w:rPr>
          <w:rFonts w:hint="eastAsia" w:ascii="宋体" w:hAnsi="宋体" w:eastAsia="宋体" w:cs="宋体"/>
          <w:color w:val="auto"/>
          <w:sz w:val="21"/>
          <w:szCs w:val="21"/>
          <w:highlight w:val="none"/>
          <w:u w:val="single"/>
          <w:lang w:eastAsia="zh-CN"/>
        </w:rPr>
        <w:t>（评审若邀请专家，包含在</w:t>
      </w:r>
      <w:r>
        <w:rPr>
          <w:rFonts w:hint="eastAsia" w:ascii="宋体" w:hAnsi="宋体" w:eastAsia="宋体" w:cs="宋体"/>
          <w:color w:val="auto"/>
          <w:sz w:val="21"/>
          <w:szCs w:val="21"/>
          <w:highlight w:val="none"/>
          <w:u w:val="single"/>
        </w:rPr>
        <w:t>本次招标的费用</w:t>
      </w:r>
      <w:r>
        <w:rPr>
          <w:rFonts w:hint="eastAsia" w:ascii="宋体" w:hAnsi="宋体" w:eastAsia="宋体" w:cs="宋体"/>
          <w:color w:val="auto"/>
          <w:sz w:val="21"/>
          <w:szCs w:val="21"/>
          <w:highlight w:val="none"/>
          <w:u w:val="single"/>
          <w:lang w:eastAsia="zh-CN"/>
        </w:rPr>
        <w:t>中）</w:t>
      </w:r>
      <w:r>
        <w:rPr>
          <w:rFonts w:hint="eastAsia" w:ascii="宋体" w:hAnsi="宋体" w:eastAsia="宋体" w:cs="宋体"/>
          <w:color w:val="auto"/>
          <w:sz w:val="21"/>
          <w:szCs w:val="21"/>
          <w:highlight w:val="none"/>
        </w:rPr>
        <w:t>，并按照合同约定提交全部正式成果。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工作成果的验收方法：</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成果以响应采购人要求为准。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验收的时间和地点：由采购人确定。</w:t>
      </w: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D3210"/>
    <w:multiLevelType w:val="singleLevel"/>
    <w:tmpl w:val="894D3210"/>
    <w:lvl w:ilvl="0" w:tentative="0">
      <w:start w:val="1"/>
      <w:numFmt w:val="decimal"/>
      <w:lvlText w:val="(%1)"/>
      <w:lvlJc w:val="left"/>
      <w:pPr>
        <w:ind w:left="425" w:hanging="425"/>
      </w:pPr>
      <w:rPr>
        <w:rFonts w:hint="default"/>
      </w:rPr>
    </w:lvl>
  </w:abstractNum>
  <w:abstractNum w:abstractNumId="1">
    <w:nsid w:val="C0D2BD15"/>
    <w:multiLevelType w:val="singleLevel"/>
    <w:tmpl w:val="C0D2BD15"/>
    <w:lvl w:ilvl="0" w:tentative="0">
      <w:start w:val="1"/>
      <w:numFmt w:val="decimal"/>
      <w:suff w:val="nothing"/>
      <w:lvlText w:val="%1．"/>
      <w:lvlJc w:val="left"/>
      <w:pPr>
        <w:ind w:left="0" w:firstLine="400"/>
      </w:pPr>
      <w:rPr>
        <w:rFonts w:hint="default"/>
      </w:rPr>
    </w:lvl>
  </w:abstractNum>
  <w:abstractNum w:abstractNumId="2">
    <w:nsid w:val="F1C3A292"/>
    <w:multiLevelType w:val="singleLevel"/>
    <w:tmpl w:val="F1C3A292"/>
    <w:lvl w:ilvl="0" w:tentative="0">
      <w:start w:val="1"/>
      <w:numFmt w:val="decimal"/>
      <w:suff w:val="nothing"/>
      <w:lvlText w:val="%1．"/>
      <w:lvlJc w:val="left"/>
      <w:pPr>
        <w:ind w:left="0" w:firstLine="400"/>
      </w:pPr>
      <w:rPr>
        <w:rFonts w:hint="default"/>
      </w:rPr>
    </w:lvl>
  </w:abstractNum>
  <w:abstractNum w:abstractNumId="3">
    <w:nsid w:val="506753EE"/>
    <w:multiLevelType w:val="singleLevel"/>
    <w:tmpl w:val="506753EE"/>
    <w:lvl w:ilvl="0" w:tentative="0">
      <w:start w:val="2"/>
      <w:numFmt w:val="chineseCounting"/>
      <w:suff w:val="nothing"/>
      <w:lvlText w:val="（%1）"/>
      <w:lvlJc w:val="left"/>
      <w:rPr>
        <w:rFonts w:hint="eastAsia"/>
      </w:rPr>
    </w:lvl>
  </w:abstractNum>
  <w:abstractNum w:abstractNumId="4">
    <w:nsid w:val="5FF08E4C"/>
    <w:multiLevelType w:val="singleLevel"/>
    <w:tmpl w:val="5FF08E4C"/>
    <w:lvl w:ilvl="0" w:tentative="0">
      <w:start w:val="1"/>
      <w:numFmt w:val="decimal"/>
      <w:suff w:val="nothing"/>
      <w:lvlText w:val="%1．"/>
      <w:lvlJc w:val="left"/>
      <w:pPr>
        <w:ind w:left="0" w:firstLine="400"/>
      </w:pPr>
      <w:rPr>
        <w:rFonts w:hint="default"/>
      </w:rPr>
    </w:lvl>
  </w:abstractNum>
  <w:abstractNum w:abstractNumId="5">
    <w:nsid w:val="77EC4EDB"/>
    <w:multiLevelType w:val="singleLevel"/>
    <w:tmpl w:val="77EC4EDB"/>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81B22"/>
    <w:rsid w:val="4D181B22"/>
    <w:rsid w:val="6894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360" w:lineRule="exact"/>
      <w:ind w:left="400" w:leftChars="400" w:firstLine="420" w:firstLineChars="100"/>
    </w:pPr>
    <w:rPr>
      <w:rFonts w:eastAsia="楷体_GB2312"/>
      <w:sz w:val="24"/>
      <w:szCs w:val="24"/>
    </w:rPr>
  </w:style>
  <w:style w:type="paragraph" w:styleId="3">
    <w:name w:val="Body Text"/>
    <w:basedOn w:val="1"/>
    <w:qFormat/>
    <w:uiPriority w:val="0"/>
    <w:rPr>
      <w:sz w:val="18"/>
      <w:szCs w:val="20"/>
    </w:rPr>
  </w:style>
  <w:style w:type="character" w:customStyle="1" w:styleId="6">
    <w:name w:val="NormalCharacter"/>
    <w:qFormat/>
    <w:uiPriority w:val="0"/>
  </w:style>
  <w:style w:type="paragraph" w:customStyle="1" w:styleId="7">
    <w:name w:val="UserStyle_11"/>
    <w:basedOn w:val="1"/>
    <w:qFormat/>
    <w:uiPriority w:val="0"/>
    <w:pPr>
      <w:ind w:firstLine="560"/>
    </w:pPr>
    <w:rPr>
      <w:kern w:val="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2022-04-21T02:32:00Z</dcterms:created>
  <dc:creator>招标代理</dc:creator>
  <cp:lastModifiedBy>招标代理</cp:lastModifiedBy>
  <dcterms:modified xsi:type="dcterms:W3CDTF">2022-04-21T02:43:22Z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F90831DF8E374A8D85558DBAD8FA56B8</vt:lpwstr>
  </property>
</Properties>
</file>