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pPr>
    </w:p>
    <w:p>
      <w:pPr>
        <w:pStyle w:val="3"/>
        <w:spacing w:line="120" w:lineRule="auto"/>
        <w:jc w:val="center"/>
        <w:rPr>
          <w:sz w:val="32"/>
          <w:szCs w:val="32"/>
        </w:rPr>
      </w:pPr>
      <w:bookmarkStart w:id="0" w:name="_Toc18554"/>
      <w:bookmarkStart w:id="1" w:name="_Toc5142"/>
      <w:bookmarkStart w:id="2" w:name="_Toc31369"/>
      <w:r>
        <w:rPr>
          <w:rFonts w:hint="eastAsia"/>
          <w:sz w:val="32"/>
          <w:szCs w:val="32"/>
        </w:rPr>
        <w:t xml:space="preserve">第一章 </w:t>
      </w:r>
      <w:bookmarkEnd w:id="0"/>
      <w:bookmarkEnd w:id="1"/>
      <w:r>
        <w:rPr>
          <w:rFonts w:hint="eastAsia"/>
          <w:sz w:val="32"/>
          <w:szCs w:val="32"/>
        </w:rPr>
        <w:t>采购人需求</w:t>
      </w:r>
      <w:bookmarkEnd w:id="2"/>
    </w:p>
    <w:p>
      <w:pPr>
        <w:spacing w:line="360" w:lineRule="auto"/>
        <w:rPr>
          <w:b/>
          <w:bCs/>
          <w:lang w:val="zh-CN"/>
        </w:rPr>
      </w:pPr>
      <w:r>
        <w:rPr>
          <w:rFonts w:hint="eastAsia"/>
          <w:b/>
          <w:bCs/>
          <w:lang w:val="zh-CN"/>
        </w:rPr>
        <w:t>一、项目概况</w:t>
      </w:r>
    </w:p>
    <w:p>
      <w:pPr>
        <w:spacing w:line="360" w:lineRule="auto"/>
        <w:ind w:firstLine="420" w:firstLineChars="200"/>
      </w:pPr>
      <w:r>
        <w:rPr>
          <w:rFonts w:hint="eastAsia"/>
        </w:rPr>
        <w:t>项目选址位于广州国际金融城起步区，黄埔大道以南、花城大道以北，湾融路以东，棠下涌以西。本项目主要建设内容包括城际与地铁换乘综合交通枢纽及通道、公交车站、集散大厅、值机大厅、公共服务设施、非营利性轨道交通枢纽换乘公共停车位、连接通道(天桥)、商业及相关配套设施等，项目总建筑面积约78395平方米。</w:t>
      </w:r>
      <w:bookmarkStart w:id="3" w:name="_Toc26911"/>
      <w:r>
        <w:rPr>
          <w:rFonts w:hint="eastAsia"/>
        </w:rPr>
        <w:t>总投资估算为 139349万元。</w:t>
      </w:r>
      <w:bookmarkEnd w:id="3"/>
    </w:p>
    <w:p>
      <w:pPr>
        <w:spacing w:line="360" w:lineRule="auto"/>
        <w:ind w:firstLine="420" w:firstLineChars="200"/>
      </w:pPr>
      <w:r>
        <w:rPr>
          <w:rFonts w:hint="eastAsia"/>
        </w:rPr>
        <w:t>项目采用“公共基础设施建设-运营-移交(BOT）＋配套经营性物业开发”运作模式，经公开招标的方式选择社会资本投资人与政府委派的出资代表合资组建PPP项目公司，由PPP项目公司全面负责经营性物业的投资开发并拥有经营性物业资产权属，同时负责非经营性交通功能基础设施的投资、建设和一定期限内运营维护，由PPP项目公司以经营性物业开发收益尽可能反哺非经营性交通功能基础设施的建设和合作期内的运营成本，不足部分由政府支付可行性缺口补助，在约定的运营维护期满后，将非经营性交通功能基础设施无偿移交广州市人民政府或其指定部门。本项目合作期14年，包含建设期和运营期(含试运营期）两个阶段，其中建设期4年；运营期10年。</w:t>
      </w:r>
    </w:p>
    <w:p>
      <w:pPr>
        <w:spacing w:line="360" w:lineRule="auto"/>
        <w:ind w:firstLine="420" w:firstLineChars="200"/>
      </w:pPr>
      <w:r>
        <w:rPr>
          <w:rFonts w:hint="eastAsia"/>
        </w:rPr>
        <w:t>项目已按规定纳入财政部PPP项目管理库，现处于实施阶段，正按计划推进建设工作。工程2018年12月4日开工，预计2022年底完工。2021年9月，本项目实施机构由原广州市地铁工程资金协调办公室变更为广州市政府投资项目研究评审中心。</w:t>
      </w:r>
    </w:p>
    <w:p>
      <w:pPr>
        <w:pStyle w:val="18"/>
        <w:rPr>
          <w:sz w:val="21"/>
          <w:szCs w:val="21"/>
        </w:rPr>
      </w:pPr>
    </w:p>
    <w:p>
      <w:pPr>
        <w:spacing w:line="360" w:lineRule="auto"/>
        <w:rPr>
          <w:b/>
          <w:bCs/>
          <w:lang w:val="zh-CN"/>
        </w:rPr>
      </w:pPr>
      <w:r>
        <w:rPr>
          <w:rFonts w:hint="eastAsia"/>
          <w:b/>
          <w:bCs/>
          <w:lang w:val="zh-CN"/>
        </w:rPr>
        <w:t>二、采购项目预算与报价</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0"/>
        <w:gridCol w:w="1844"/>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485" w:type="pct"/>
            <w:vAlign w:val="center"/>
          </w:tcPr>
          <w:p>
            <w:pPr>
              <w:spacing w:line="360" w:lineRule="auto"/>
              <w:jc w:val="center"/>
              <w:rPr>
                <w:b/>
                <w:bCs/>
              </w:rPr>
            </w:pPr>
            <w:r>
              <w:rPr>
                <w:rFonts w:hint="eastAsia"/>
                <w:b/>
                <w:bCs/>
              </w:rPr>
              <w:t>采购项目名称</w:t>
            </w:r>
          </w:p>
        </w:tc>
        <w:tc>
          <w:tcPr>
            <w:tcW w:w="975" w:type="pct"/>
            <w:vAlign w:val="center"/>
          </w:tcPr>
          <w:p>
            <w:pPr>
              <w:spacing w:line="360" w:lineRule="auto"/>
              <w:jc w:val="center"/>
              <w:rPr>
                <w:b/>
                <w:bCs/>
              </w:rPr>
            </w:pPr>
            <w:r>
              <w:rPr>
                <w:rFonts w:hint="eastAsia"/>
                <w:b/>
                <w:bCs/>
              </w:rPr>
              <w:t>数量</w:t>
            </w:r>
          </w:p>
        </w:tc>
        <w:tc>
          <w:tcPr>
            <w:tcW w:w="1539" w:type="pct"/>
            <w:vAlign w:val="center"/>
          </w:tcPr>
          <w:p>
            <w:pPr>
              <w:spacing w:line="360" w:lineRule="auto"/>
              <w:jc w:val="center"/>
              <w:rPr>
                <w:b/>
                <w:bCs/>
              </w:rPr>
            </w:pPr>
            <w:r>
              <w:rPr>
                <w:rFonts w:hint="eastAsia"/>
                <w:b/>
                <w:bCs/>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485" w:type="pct"/>
            <w:vAlign w:val="center"/>
          </w:tcPr>
          <w:p>
            <w:pPr>
              <w:spacing w:line="360" w:lineRule="auto"/>
              <w:jc w:val="center"/>
            </w:pPr>
            <w:r>
              <w:rPr>
                <w:rFonts w:hint="eastAsia"/>
              </w:rPr>
              <w:t>金融城站综合交通枢纽PPP项目建设期监管服务采购</w:t>
            </w:r>
          </w:p>
        </w:tc>
        <w:tc>
          <w:tcPr>
            <w:tcW w:w="975" w:type="pct"/>
            <w:vAlign w:val="center"/>
          </w:tcPr>
          <w:p>
            <w:pPr>
              <w:spacing w:line="360" w:lineRule="auto"/>
              <w:jc w:val="center"/>
            </w:pPr>
            <w:r>
              <w:rPr>
                <w:rFonts w:hint="eastAsia"/>
              </w:rPr>
              <w:t>1项</w:t>
            </w:r>
          </w:p>
        </w:tc>
        <w:tc>
          <w:tcPr>
            <w:tcW w:w="1539" w:type="pct"/>
            <w:vAlign w:val="center"/>
          </w:tcPr>
          <w:p>
            <w:pPr>
              <w:spacing w:line="360" w:lineRule="auto"/>
              <w:jc w:val="center"/>
            </w:pPr>
            <w:r>
              <w:rPr>
                <w:rFonts w:hint="eastAsia"/>
              </w:rPr>
              <w:t>950,000.00</w:t>
            </w:r>
          </w:p>
        </w:tc>
      </w:tr>
    </w:tbl>
    <w:p>
      <w:pPr>
        <w:spacing w:line="360" w:lineRule="auto"/>
      </w:pPr>
      <w:r>
        <w:rPr>
          <w:rFonts w:hint="eastAsia"/>
        </w:rPr>
        <w:t>注：1.预算金额为最高限价，报价超出的，其响应文件作无效投标处理。</w:t>
      </w:r>
    </w:p>
    <w:p>
      <w:pPr>
        <w:numPr>
          <w:ilvl w:val="0"/>
          <w:numId w:val="1"/>
        </w:numPr>
        <w:spacing w:line="360" w:lineRule="auto"/>
      </w:pPr>
      <w:r>
        <w:rPr>
          <w:rFonts w:hint="eastAsia"/>
        </w:rPr>
        <w:t>★投标报价应为人民币含税全包价，应包括建设期履约监管相关工作的费用，包括资料费、编制费、交通通讯费、税金等完成本项目的所有费用。</w:t>
      </w:r>
      <w:bookmarkStart w:id="4" w:name="_Toc25271"/>
      <w:bookmarkStart w:id="5" w:name="_Toc27745"/>
    </w:p>
    <w:p/>
    <w:p>
      <w:pPr>
        <w:spacing w:line="360" w:lineRule="auto"/>
        <w:rPr>
          <w:b/>
          <w:bCs/>
          <w:lang w:val="zh-CN"/>
        </w:rPr>
      </w:pPr>
      <w:r>
        <w:rPr>
          <w:rFonts w:hint="eastAsia"/>
          <w:b/>
          <w:bCs/>
          <w:lang w:val="zh-CN"/>
        </w:rPr>
        <w:t>三、监管服务具体内容及工作要求</w:t>
      </w:r>
      <w:bookmarkEnd w:id="4"/>
      <w:bookmarkEnd w:id="5"/>
    </w:p>
    <w:p>
      <w:pPr>
        <w:spacing w:line="360" w:lineRule="auto"/>
        <w:ind w:firstLine="420" w:firstLineChars="200"/>
      </w:pPr>
      <w:r>
        <w:rPr>
          <w:rFonts w:hint="eastAsia"/>
        </w:rPr>
        <w:t>（一）工作目标</w:t>
      </w:r>
    </w:p>
    <w:p>
      <w:pPr>
        <w:spacing w:line="360" w:lineRule="auto"/>
        <w:ind w:firstLine="420" w:firstLineChars="200"/>
        <w:rPr>
          <w:rFonts w:hint="eastAsia"/>
        </w:rPr>
      </w:pPr>
      <w:r>
        <w:rPr>
          <w:rFonts w:hint="eastAsia"/>
        </w:rPr>
        <w:t>本咨询项目为金融城站综合交通枢纽PPP项目的建设期和运营初期监管咨询服务，以“监管PPP合同有效执行、防范政府风险”、“合理监管、不违规不越位、不过度参与”、“高质高效推进项目建设运营”为目标，制定科学、系统、完善、可操作的管理方案、措施并予以实施，以达到质量、工期、投资的最优组合。投标人应全面梳理并优化监管要点、建立监管制度体系、协助开展建设期绩效考核、提供涉及PPP合同调整和变更的顾问咨询；对项目公司提交的技术文件及技术问题进行必要专业性分析以供采购人参考，确保提交文件满足相关审批要求；针对重大事项进行风险分析，研究制定应对措施及方案，并通过比选、论证提出最优建议以供采购人参考；协助实施机构最终确保融城站综合交通枢纽PPP项目顺利建设及正常运营，并在以上服务过程中力求使采购人最大限度地得到保障和受益，承担最小限度的风险。</w:t>
      </w:r>
    </w:p>
    <w:p>
      <w:pPr>
        <w:spacing w:line="360" w:lineRule="auto"/>
        <w:ind w:firstLine="420" w:firstLineChars="200"/>
        <w:rPr>
          <w:rFonts w:hint="eastAsia"/>
          <w:lang w:eastAsia="zh-CN"/>
        </w:rPr>
      </w:pPr>
      <w:r>
        <w:rPr>
          <w:rFonts w:hint="eastAsia"/>
        </w:rPr>
        <w:t>（二）</w:t>
      </w:r>
      <w:r>
        <w:rPr>
          <w:rFonts w:hint="eastAsia"/>
          <w:lang w:eastAsia="zh-CN"/>
        </w:rPr>
        <w:t>建立监管体制</w:t>
      </w:r>
    </w:p>
    <w:p>
      <w:pPr>
        <w:spacing w:line="360" w:lineRule="auto"/>
        <w:ind w:firstLine="420" w:firstLineChars="200"/>
        <w:rPr>
          <w:rFonts w:hint="eastAsia"/>
        </w:rPr>
      </w:pPr>
      <w:r>
        <w:rPr>
          <w:rFonts w:hint="eastAsia"/>
        </w:rPr>
        <w:t>协助实施机构建立包括PPP合同履约事项审批管理、招标采购管理、PPP合同调整变更管理、PPP合同履行违约处理管理、PPP合同付费管理等制度在内的各项监管制度，明确监管主体和流程，形成完善的监管制度体系。</w:t>
      </w:r>
    </w:p>
    <w:p>
      <w:pPr>
        <w:spacing w:line="360" w:lineRule="auto"/>
        <w:ind w:firstLine="420" w:firstLineChars="200"/>
        <w:rPr>
          <w:rFonts w:hint="eastAsia"/>
        </w:rPr>
      </w:pPr>
      <w:r>
        <w:rPr>
          <w:rFonts w:hint="eastAsia"/>
          <w:lang w:eastAsia="zh-CN"/>
        </w:rPr>
        <w:t>（三）</w:t>
      </w:r>
      <w:r>
        <w:rPr>
          <w:rFonts w:hint="eastAsia"/>
        </w:rPr>
        <w:t>提供日常项目过程咨询</w:t>
      </w:r>
    </w:p>
    <w:p>
      <w:pPr>
        <w:spacing w:line="360" w:lineRule="auto"/>
        <w:ind w:firstLine="420" w:firstLineChars="200"/>
        <w:rPr>
          <w:rFonts w:hint="eastAsia"/>
          <w:lang w:val="en-US" w:eastAsia="zh-CN"/>
        </w:rPr>
      </w:pPr>
      <w:r>
        <w:rPr>
          <w:rFonts w:hint="eastAsia"/>
          <w:lang w:val="en-US" w:eastAsia="zh-CN"/>
        </w:rPr>
        <w:t>1.现场巡检</w:t>
      </w:r>
    </w:p>
    <w:p>
      <w:pPr>
        <w:spacing w:line="360" w:lineRule="auto"/>
        <w:ind w:firstLine="420" w:firstLineChars="200"/>
      </w:pPr>
      <w:r>
        <w:rPr>
          <w:rFonts w:hint="eastAsia"/>
        </w:rPr>
        <w:t>（1）</w:t>
      </w:r>
      <w:r>
        <w:rPr>
          <w:rFonts w:hint="eastAsia"/>
          <w:lang w:eastAsia="zh-CN"/>
        </w:rPr>
        <w:t>建设期</w:t>
      </w:r>
      <w:r>
        <w:rPr>
          <w:rFonts w:hint="eastAsia"/>
        </w:rPr>
        <w:t>现场巡检</w:t>
      </w:r>
    </w:p>
    <w:p>
      <w:pPr>
        <w:spacing w:line="360" w:lineRule="auto"/>
        <w:ind w:firstLine="420" w:firstLineChars="200"/>
        <w:rPr>
          <w:rFonts w:hint="eastAsia"/>
        </w:rPr>
      </w:pPr>
      <w:r>
        <w:rPr>
          <w:rFonts w:hint="eastAsia"/>
        </w:rPr>
        <w:t>内容：对项目施工现场开展质量、进度和安全巡检；按需参加或检查PPP项目公司或其分包商的质量控制过程及检验。</w:t>
      </w:r>
    </w:p>
    <w:p>
      <w:pPr>
        <w:spacing w:line="360" w:lineRule="auto"/>
        <w:ind w:firstLine="420" w:firstLineChars="200"/>
        <w:rPr>
          <w:rFonts w:hint="eastAsia"/>
          <w:lang w:eastAsia="zh-CN"/>
        </w:rPr>
      </w:pPr>
      <w:r>
        <w:rPr>
          <w:rFonts w:hint="eastAsia"/>
        </w:rPr>
        <w:t>频次：质量、进度和安全巡检可合并组织，每月不少于1次。其中重大关键节点（包括并不限于钢结构吊装、室内装修、设备与智能化系统联调）应开展质量与进度巡检，重大公众节日前应开展安全巡检。</w:t>
      </w:r>
    </w:p>
    <w:p>
      <w:pPr>
        <w:spacing w:line="360" w:lineRule="auto"/>
        <w:ind w:firstLine="420" w:firstLineChars="200"/>
        <w:rPr>
          <w:rFonts w:hint="eastAsia"/>
        </w:rPr>
      </w:pPr>
      <w:r>
        <w:rPr>
          <w:rFonts w:hint="eastAsia"/>
        </w:rPr>
        <w:t>（</w:t>
      </w:r>
      <w:r>
        <w:rPr>
          <w:rFonts w:hint="eastAsia"/>
          <w:lang w:val="en-US" w:eastAsia="zh-CN"/>
        </w:rPr>
        <w:t>2</w:t>
      </w:r>
      <w:r>
        <w:rPr>
          <w:rFonts w:hint="eastAsia"/>
        </w:rPr>
        <w:t>）</w:t>
      </w:r>
      <w:r>
        <w:rPr>
          <w:rFonts w:hint="eastAsia"/>
          <w:lang w:eastAsia="zh-CN"/>
        </w:rPr>
        <w:t>运营初期</w:t>
      </w:r>
      <w:r>
        <w:rPr>
          <w:rFonts w:hint="eastAsia"/>
        </w:rPr>
        <w:t>现场巡检</w:t>
      </w:r>
    </w:p>
    <w:p>
      <w:pPr>
        <w:spacing w:line="360" w:lineRule="auto"/>
        <w:ind w:firstLine="420" w:firstLineChars="200"/>
      </w:pPr>
      <w:r>
        <w:rPr>
          <w:rFonts w:hint="eastAsia"/>
          <w:lang w:eastAsia="zh-CN"/>
        </w:rPr>
        <w:t>内容：</w:t>
      </w:r>
      <w:r>
        <w:rPr>
          <w:rFonts w:hint="eastAsia"/>
        </w:rPr>
        <w:t>对项目运营</w:t>
      </w:r>
      <w:r>
        <w:rPr>
          <w:rFonts w:hint="eastAsia"/>
          <w:lang w:eastAsia="zh-CN"/>
        </w:rPr>
        <w:t>和维护</w:t>
      </w:r>
      <w:r>
        <w:rPr>
          <w:rFonts w:hint="eastAsia"/>
        </w:rPr>
        <w:t>开展日常巡检。</w:t>
      </w:r>
    </w:p>
    <w:p>
      <w:pPr>
        <w:pStyle w:val="6"/>
        <w:ind w:firstLine="420" w:firstLineChars="200"/>
        <w:rPr>
          <w:rFonts w:hint="eastAsia"/>
          <w:b w:val="0"/>
          <w:bCs w:val="0"/>
          <w:sz w:val="21"/>
        </w:rPr>
      </w:pPr>
      <w:r>
        <w:rPr>
          <w:rFonts w:hint="eastAsia"/>
          <w:b w:val="0"/>
          <w:bCs w:val="0"/>
          <w:sz w:val="21"/>
        </w:rPr>
        <w:t>频次：运营质量、日常维护和安全巡检可合并组织，每季度不少于</w:t>
      </w:r>
      <w:r>
        <w:rPr>
          <w:b w:val="0"/>
          <w:bCs w:val="0"/>
          <w:sz w:val="21"/>
        </w:rPr>
        <w:t>1</w:t>
      </w:r>
      <w:r>
        <w:rPr>
          <w:rFonts w:hint="eastAsia"/>
          <w:b w:val="0"/>
          <w:bCs w:val="0"/>
          <w:sz w:val="21"/>
        </w:rPr>
        <w:t>次。其中重大公众节日前应开展安全巡检。</w:t>
      </w:r>
    </w:p>
    <w:p>
      <w:pPr>
        <w:rPr>
          <w:rFonts w:hint="eastAsia"/>
        </w:rPr>
      </w:pPr>
      <w:r>
        <w:rPr>
          <w:rFonts w:hint="default"/>
          <w:lang w:val="en"/>
        </w:rPr>
        <w:t xml:space="preserve">    2.</w:t>
      </w:r>
      <w:r>
        <w:rPr>
          <w:rFonts w:hint="eastAsia"/>
        </w:rPr>
        <w:t>协助项目实施机构进行常规考核</w:t>
      </w:r>
    </w:p>
    <w:p>
      <w:pPr>
        <w:spacing w:line="360" w:lineRule="auto"/>
        <w:ind w:firstLine="420" w:firstLineChars="200"/>
        <w:rPr>
          <w:rFonts w:hint="eastAsia" w:eastAsia="宋体"/>
          <w:lang w:eastAsia="zh-CN"/>
        </w:rPr>
      </w:pPr>
      <w:r>
        <w:rPr>
          <w:rFonts w:hint="eastAsia"/>
        </w:rPr>
        <w:t>（1）</w:t>
      </w:r>
      <w:r>
        <w:rPr>
          <w:rFonts w:hint="eastAsia"/>
          <w:lang w:eastAsia="zh-CN"/>
        </w:rPr>
        <w:t>建设期常规考核</w:t>
      </w:r>
    </w:p>
    <w:p>
      <w:pPr>
        <w:spacing w:line="360" w:lineRule="auto"/>
        <w:ind w:firstLine="420" w:firstLineChars="200"/>
      </w:pPr>
      <w:r>
        <w:rPr>
          <w:rFonts w:hint="eastAsia"/>
          <w:lang w:eastAsia="zh-CN"/>
        </w:rPr>
        <w:t>内容：</w:t>
      </w:r>
      <w:r>
        <w:rPr>
          <w:rFonts w:hint="eastAsia"/>
        </w:rPr>
        <w:t>协助实施机构采取随机抽查或定期检查的方式，对项目进行建设期常规考核。建设期考核主要分为考核合同履约情况、鼓励社会资本创新两方面，具体包括项目投资融资情况、项目建设的进度、质量、安全、人员及设备到位情况等，以及社会资本主动进行技术创新和设计优化，主动使用节能环保材料等。对PPP项目公司建设期阶段的投资建设、安全、质量、服务状况等进行建设期常规考核，出具建设期常规考核报告。</w:t>
      </w:r>
    </w:p>
    <w:p>
      <w:pPr>
        <w:spacing w:line="360" w:lineRule="auto"/>
        <w:ind w:firstLine="420" w:firstLineChars="200"/>
        <w:rPr>
          <w:rFonts w:hint="eastAsia"/>
        </w:rPr>
      </w:pPr>
      <w:r>
        <w:rPr>
          <w:rFonts w:hint="eastAsia"/>
        </w:rPr>
        <w:t>频次：结合项目建设进度安排。</w:t>
      </w:r>
    </w:p>
    <w:p>
      <w:pPr>
        <w:spacing w:line="360" w:lineRule="auto"/>
        <w:ind w:firstLine="420" w:firstLineChars="200"/>
        <w:rPr>
          <w:rFonts w:hint="eastAsia"/>
        </w:rPr>
      </w:pPr>
      <w:r>
        <w:rPr>
          <w:rFonts w:hint="eastAsia"/>
        </w:rPr>
        <w:t>（</w:t>
      </w:r>
      <w:r>
        <w:rPr>
          <w:rFonts w:hint="eastAsia"/>
          <w:lang w:val="en-US" w:eastAsia="zh-CN"/>
        </w:rPr>
        <w:t>2</w:t>
      </w:r>
      <w:r>
        <w:rPr>
          <w:rFonts w:hint="eastAsia"/>
        </w:rPr>
        <w:t>）</w:t>
      </w:r>
      <w:r>
        <w:rPr>
          <w:rFonts w:hint="eastAsia"/>
          <w:lang w:eastAsia="zh-CN"/>
        </w:rPr>
        <w:t>运营初期常规考核</w:t>
      </w:r>
    </w:p>
    <w:p>
      <w:pPr>
        <w:spacing w:line="360" w:lineRule="auto"/>
        <w:ind w:firstLine="420" w:firstLineChars="200"/>
      </w:pPr>
      <w:r>
        <w:rPr>
          <w:rFonts w:hint="eastAsia"/>
          <w:lang w:eastAsia="zh-CN"/>
        </w:rPr>
        <w:t>内容：</w:t>
      </w:r>
      <w:r>
        <w:rPr>
          <w:rFonts w:hint="eastAsia"/>
        </w:rPr>
        <w:t>协助实施机构审核维护方案和检查维护情况，采取随机抽查或定期检查的方式，对项目进行运营初期常规考核。运营初期考核主要分为考核合同履约情况、项目运营情况两方面，具体包括项目运营情况、项目维护情况、安全、人员及设备到位情况等，以及项目质保期内非正常损坏与维护（维修）等。对PPP项目公司运营初期阶段的运营质量、服务状况等进行常规考核，出具常规考核报告。</w:t>
      </w:r>
    </w:p>
    <w:p>
      <w:pPr>
        <w:pStyle w:val="6"/>
        <w:ind w:firstLine="420" w:firstLineChars="200"/>
        <w:rPr>
          <w:rFonts w:hint="eastAsia"/>
          <w:b w:val="0"/>
          <w:bCs w:val="0"/>
          <w:sz w:val="21"/>
        </w:rPr>
      </w:pPr>
      <w:r>
        <w:rPr>
          <w:rFonts w:hint="eastAsia"/>
          <w:b w:val="0"/>
          <w:bCs w:val="0"/>
          <w:sz w:val="21"/>
        </w:rPr>
        <w:t>频次：</w:t>
      </w:r>
      <w:r>
        <w:rPr>
          <w:rFonts w:hint="eastAsia"/>
          <w:b w:val="0"/>
          <w:bCs w:val="0"/>
          <w:sz w:val="21"/>
          <w:lang w:eastAsia="zh-CN"/>
        </w:rPr>
        <w:t>运营期第一年内开展一次</w:t>
      </w:r>
      <w:r>
        <w:rPr>
          <w:rFonts w:hint="eastAsia"/>
          <w:b w:val="0"/>
          <w:bCs w:val="0"/>
          <w:sz w:val="21"/>
        </w:rPr>
        <w:t>。</w:t>
      </w:r>
    </w:p>
    <w:p>
      <w:pPr>
        <w:rPr>
          <w:rFonts w:hint="eastAsia"/>
        </w:rPr>
      </w:pPr>
      <w:r>
        <w:rPr>
          <w:rFonts w:hint="default"/>
          <w:lang w:val="en"/>
        </w:rPr>
        <w:t xml:space="preserve">    </w:t>
      </w:r>
      <w:r>
        <w:rPr>
          <w:rFonts w:hint="eastAsia"/>
          <w:lang w:val="en-US" w:eastAsia="zh-CN"/>
        </w:rPr>
        <w:t>3</w:t>
      </w:r>
      <w:r>
        <w:rPr>
          <w:rFonts w:hint="default"/>
          <w:lang w:val="en"/>
        </w:rPr>
        <w:t>.</w:t>
      </w:r>
      <w:r>
        <w:rPr>
          <w:rFonts w:hint="eastAsia"/>
        </w:rPr>
        <w:t>协助开展档案管理</w:t>
      </w:r>
    </w:p>
    <w:p>
      <w:pPr>
        <w:spacing w:line="360" w:lineRule="auto"/>
        <w:ind w:firstLine="420" w:firstLineChars="200"/>
      </w:pPr>
      <w:r>
        <w:rPr>
          <w:rFonts w:hint="eastAsia"/>
          <w:lang w:eastAsia="zh-CN"/>
        </w:rPr>
        <w:t>内容：</w:t>
      </w:r>
      <w:r>
        <w:rPr>
          <w:rFonts w:hint="eastAsia"/>
        </w:rPr>
        <w:t>协助项目实施机构对PPP项目建设期内形成的PPP监督管理文件资料进行建档保存，建立覆盖项目整个过程的档案体系；推行标准化、模块化、以项目为导向的理念，保证资料的准确性、完整性，并有效加快检查资料的效率。</w:t>
      </w:r>
    </w:p>
    <w:p>
      <w:pPr>
        <w:spacing w:line="360" w:lineRule="auto"/>
        <w:ind w:firstLine="420" w:firstLineChars="200"/>
      </w:pPr>
      <w:r>
        <w:rPr>
          <w:rFonts w:hint="eastAsia"/>
        </w:rPr>
        <w:t>频次：资料随到随整理，每两个月为周期，在周期结束后的第一周移交周期内资料交采购人接收。服务期结束时，将整个服务期内所有移交资料清单随未移交资料一并交采购人接收。</w:t>
      </w:r>
    </w:p>
    <w:p>
      <w:pPr>
        <w:rPr>
          <w:rFonts w:hint="eastAsia"/>
        </w:rPr>
      </w:pPr>
      <w:r>
        <w:rPr>
          <w:rFonts w:hint="default"/>
          <w:lang w:val="en"/>
        </w:rPr>
        <w:t xml:space="preserve">    </w:t>
      </w:r>
      <w:r>
        <w:rPr>
          <w:rFonts w:hint="eastAsia"/>
          <w:lang w:val="en-US" w:eastAsia="zh-CN"/>
        </w:rPr>
        <w:t>4</w:t>
      </w:r>
      <w:r>
        <w:rPr>
          <w:rFonts w:hint="default"/>
          <w:lang w:val="en"/>
        </w:rPr>
        <w:t>.</w:t>
      </w:r>
      <w:r>
        <w:rPr>
          <w:rFonts w:hint="eastAsia"/>
        </w:rPr>
        <w:t>PPP项目入库跟踪管理</w:t>
      </w:r>
    </w:p>
    <w:p>
      <w:pPr>
        <w:spacing w:line="360" w:lineRule="auto"/>
        <w:ind w:firstLine="420" w:firstLineChars="200"/>
      </w:pPr>
      <w:r>
        <w:rPr>
          <w:rFonts w:hint="eastAsia"/>
          <w:lang w:eastAsia="zh-CN"/>
        </w:rPr>
        <w:t>内容：</w:t>
      </w:r>
      <w:r>
        <w:rPr>
          <w:rFonts w:hint="eastAsia"/>
        </w:rPr>
        <w:t xml:space="preserve">在建设期监管服务期间内，建立对PPP项目入库情况持续跟踪的常态化管理机制，根据最新PPP政策开展项目自查和整改，进行动态调整，实施全生命周期管理，确保规范运作。 </w:t>
      </w:r>
    </w:p>
    <w:p>
      <w:pPr>
        <w:spacing w:line="360" w:lineRule="auto"/>
        <w:ind w:firstLine="420" w:firstLineChars="200"/>
      </w:pPr>
      <w:r>
        <w:rPr>
          <w:rFonts w:hint="eastAsia"/>
        </w:rPr>
        <w:t>频次：按年度根据财政部门要求。</w:t>
      </w:r>
    </w:p>
    <w:p>
      <w:pPr>
        <w:rPr>
          <w:rFonts w:hint="eastAsia"/>
        </w:rPr>
      </w:pPr>
      <w:r>
        <w:rPr>
          <w:rFonts w:hint="default"/>
          <w:lang w:val="en"/>
        </w:rPr>
        <w:t xml:space="preserve">    </w:t>
      </w:r>
      <w:r>
        <w:rPr>
          <w:rFonts w:hint="eastAsia"/>
          <w:lang w:val="en-US" w:eastAsia="zh-CN"/>
        </w:rPr>
        <w:t>5</w:t>
      </w:r>
      <w:r>
        <w:rPr>
          <w:rFonts w:hint="default"/>
          <w:lang w:val="en"/>
        </w:rPr>
        <w:t>.</w:t>
      </w:r>
      <w:r>
        <w:rPr>
          <w:rFonts w:hint="eastAsia"/>
        </w:rPr>
        <w:t>竣工验收</w:t>
      </w:r>
    </w:p>
    <w:p>
      <w:pPr>
        <w:spacing w:line="360" w:lineRule="auto"/>
        <w:ind w:firstLine="420" w:firstLineChars="200"/>
      </w:pPr>
      <w:r>
        <w:rPr>
          <w:rFonts w:hint="eastAsia"/>
          <w:lang w:eastAsia="zh-CN"/>
        </w:rPr>
        <w:t>内容：</w:t>
      </w:r>
      <w:r>
        <w:rPr>
          <w:rFonts w:hint="eastAsia"/>
        </w:rPr>
        <w:t>按采购人要求，协助采购人完成工程竣工验收。在竣工验收前，对PPP项目公司整理的竣工验收材料进行复核。</w:t>
      </w:r>
    </w:p>
    <w:p>
      <w:pPr>
        <w:spacing w:line="360" w:lineRule="auto"/>
        <w:ind w:firstLine="420" w:firstLineChars="200"/>
        <w:rPr>
          <w:rFonts w:hint="eastAsia"/>
        </w:rPr>
      </w:pPr>
      <w:r>
        <w:rPr>
          <w:rFonts w:hint="eastAsia"/>
        </w:rPr>
        <w:t>频次：一次。竣工验收时。</w:t>
      </w:r>
    </w:p>
    <w:p>
      <w:pPr>
        <w:rPr>
          <w:rFonts w:hint="eastAsia"/>
        </w:rPr>
      </w:pPr>
      <w:r>
        <w:rPr>
          <w:rFonts w:hint="default"/>
          <w:lang w:val="en"/>
        </w:rPr>
        <w:t xml:space="preserve">    </w:t>
      </w:r>
      <w:r>
        <w:rPr>
          <w:rFonts w:hint="eastAsia"/>
          <w:lang w:val="en-US" w:eastAsia="zh-CN"/>
        </w:rPr>
        <w:t>6</w:t>
      </w:r>
      <w:r>
        <w:rPr>
          <w:rFonts w:hint="default"/>
          <w:lang w:val="en"/>
        </w:rPr>
        <w:t>.</w:t>
      </w:r>
      <w:r>
        <w:rPr>
          <w:rFonts w:hint="eastAsia"/>
        </w:rPr>
        <w:t>可行性缺口补助咨询</w:t>
      </w:r>
    </w:p>
    <w:p>
      <w:pPr>
        <w:spacing w:line="360" w:lineRule="auto"/>
        <w:ind w:firstLine="420" w:firstLineChars="200"/>
      </w:pPr>
      <w:r>
        <w:rPr>
          <w:rFonts w:hint="eastAsia"/>
          <w:lang w:eastAsia="zh-CN"/>
        </w:rPr>
        <w:t>内容：</w:t>
      </w:r>
      <w:r>
        <w:rPr>
          <w:rFonts w:hint="eastAsia"/>
        </w:rPr>
        <w:t>协助采购人对可行性缺口补助安排、支付等全过程提供咨询，对运营初期需支付的可行性缺口补助认定、调整，或是否需项目公司向政府支付费用提出咨询意见。</w:t>
      </w:r>
    </w:p>
    <w:p>
      <w:pPr>
        <w:pStyle w:val="2"/>
        <w:spacing w:before="156" w:after="156"/>
        <w:ind w:firstLine="420"/>
        <w:rPr>
          <w:rFonts w:hint="eastAsia"/>
          <w:sz w:val="21"/>
        </w:rPr>
      </w:pPr>
      <w:r>
        <w:rPr>
          <w:rFonts w:hint="eastAsia"/>
          <w:sz w:val="21"/>
        </w:rPr>
        <w:t>频次：按年度根据财政部门要求。</w:t>
      </w:r>
    </w:p>
    <w:p>
      <w:pPr>
        <w:spacing w:line="360" w:lineRule="auto"/>
        <w:ind w:firstLine="420" w:firstLineChars="200"/>
        <w:rPr>
          <w:rFonts w:hint="eastAsia"/>
        </w:rPr>
      </w:pPr>
      <w:r>
        <w:rPr>
          <w:rFonts w:hint="eastAsia"/>
          <w:lang w:eastAsia="zh-CN"/>
        </w:rPr>
        <w:t>（三）</w:t>
      </w:r>
      <w:r>
        <w:rPr>
          <w:rFonts w:hint="eastAsia"/>
        </w:rPr>
        <w:t>提供非日常项目过程咨询</w:t>
      </w:r>
    </w:p>
    <w:p>
      <w:pPr>
        <w:rPr>
          <w:rFonts w:hint="eastAsia"/>
        </w:rPr>
      </w:pPr>
      <w:r>
        <w:rPr>
          <w:rFonts w:hint="default"/>
          <w:lang w:val="en"/>
        </w:rPr>
        <w:t xml:space="preserve">    </w:t>
      </w:r>
      <w:r>
        <w:rPr>
          <w:rFonts w:hint="default"/>
          <w:lang w:val="en" w:eastAsia="zh-CN"/>
        </w:rPr>
        <w:t>1</w:t>
      </w:r>
      <w:r>
        <w:rPr>
          <w:rFonts w:hint="default"/>
          <w:lang w:val="en"/>
        </w:rPr>
        <w:t>.</w:t>
      </w:r>
      <w:r>
        <w:rPr>
          <w:rFonts w:hint="eastAsia"/>
        </w:rPr>
        <w:t>提供顾问服务并出具咨询意见</w:t>
      </w:r>
    </w:p>
    <w:p>
      <w:pPr>
        <w:spacing w:line="360" w:lineRule="auto"/>
        <w:ind w:firstLine="420" w:firstLineChars="200"/>
        <w:rPr>
          <w:rFonts w:hint="eastAsia"/>
        </w:rPr>
      </w:pPr>
      <w:r>
        <w:rPr>
          <w:rFonts w:hint="eastAsia"/>
        </w:rPr>
        <w:t>根据采购人要求，参加项目组织召开的专题研究会议，并出具咨询意见；就项目在</w:t>
      </w:r>
      <w:r>
        <w:rPr>
          <w:rFonts w:hint="eastAsia"/>
          <w:lang w:eastAsia="zh-CN"/>
        </w:rPr>
        <w:t>服务期</w:t>
      </w:r>
      <w:r>
        <w:rPr>
          <w:rFonts w:hint="eastAsia"/>
        </w:rPr>
        <w:t>内遇到的相关问题、事项提供顾问服务，提出解决问题的方案或方法。当出现包括并不限于质量、进度、投资、股权、可行性缺口补助方案调整</w:t>
      </w:r>
      <w:r>
        <w:rPr>
          <w:rFonts w:hint="eastAsia"/>
          <w:lang w:eastAsia="zh-CN"/>
        </w:rPr>
        <w:t>、</w:t>
      </w:r>
      <w:r>
        <w:rPr>
          <w:rFonts w:hint="eastAsia"/>
          <w:b w:val="0"/>
          <w:bCs w:val="0"/>
          <w:sz w:val="21"/>
        </w:rPr>
        <w:t>运营质量、物业出售、股权、质保期重大缺陷</w:t>
      </w:r>
      <w:r>
        <w:rPr>
          <w:rFonts w:hint="eastAsia"/>
        </w:rPr>
        <w:t>等涉及影响项目目标，以及需要重新开展“财政承受能力评价”和“物有所值评价”、项目变更审批等情形下的重大问题时，投标人评估该问题的工程、财务及法律政策后果及风险，研究制定应对措施及方案，并通过比选、论证提出最优建议方案，必要时组织专家开展论证。专家论证所需所有费用包含在投标报价中。</w:t>
      </w:r>
    </w:p>
    <w:p>
      <w:pPr>
        <w:spacing w:line="360" w:lineRule="auto"/>
        <w:ind w:firstLine="420" w:firstLineChars="200"/>
        <w:rPr>
          <w:rFonts w:hint="eastAsia"/>
        </w:rPr>
      </w:pPr>
      <w:r>
        <w:rPr>
          <w:rFonts w:hint="default"/>
          <w:lang w:val="en"/>
        </w:rPr>
        <w:t xml:space="preserve"> </w:t>
      </w:r>
      <w:r>
        <w:rPr>
          <w:rFonts w:hint="eastAsia"/>
          <w:lang w:val="en-US" w:eastAsia="zh-CN"/>
        </w:rPr>
        <w:t>2</w:t>
      </w:r>
      <w:r>
        <w:rPr>
          <w:rFonts w:hint="default"/>
          <w:lang w:val="en"/>
        </w:rPr>
        <w:t>.</w:t>
      </w:r>
      <w:r>
        <w:rPr>
          <w:rFonts w:hint="eastAsia"/>
        </w:rPr>
        <w:t>涉及PPP合同调整和变更咨询（起草、审阅、修改补充协议）</w:t>
      </w:r>
    </w:p>
    <w:p>
      <w:pPr>
        <w:spacing w:line="360" w:lineRule="auto"/>
        <w:ind w:firstLine="420" w:firstLineChars="200"/>
      </w:pPr>
      <w:r>
        <w:rPr>
          <w:rFonts w:hint="eastAsia"/>
        </w:rPr>
        <w:t>项目实施过程中，就原PPP项目合同需补充或完善的内容或条款，草拟补充协议文本。</w:t>
      </w:r>
    </w:p>
    <w:p>
      <w:pPr>
        <w:spacing w:line="360" w:lineRule="auto"/>
        <w:ind w:firstLine="420" w:firstLineChars="200"/>
      </w:pPr>
      <w:r>
        <w:rPr>
          <w:rFonts w:hint="eastAsia"/>
        </w:rPr>
        <w:t>针对采购人需求所涉重大问题需要签订补充协议时，协助实施机构根据项目实际起草、审阅、修改PPP项目合同、股东协议等的补充协议，进一步完善合同文件。</w:t>
      </w:r>
    </w:p>
    <w:p>
      <w:pPr>
        <w:rPr>
          <w:rFonts w:hint="eastAsia"/>
        </w:rPr>
      </w:pPr>
      <w:r>
        <w:rPr>
          <w:rFonts w:hint="default"/>
          <w:lang w:val="en"/>
        </w:rPr>
        <w:t xml:space="preserve">    </w:t>
      </w:r>
      <w:r>
        <w:rPr>
          <w:rFonts w:hint="eastAsia"/>
          <w:lang w:val="en-US" w:eastAsia="zh-CN"/>
        </w:rPr>
        <w:t>3</w:t>
      </w:r>
      <w:r>
        <w:rPr>
          <w:rFonts w:hint="default"/>
          <w:lang w:val="en"/>
        </w:rPr>
        <w:t>.</w:t>
      </w:r>
      <w:r>
        <w:rPr>
          <w:rFonts w:hint="eastAsia"/>
        </w:rPr>
        <w:t>PPP项目进度管理咨询</w:t>
      </w:r>
    </w:p>
    <w:p>
      <w:pPr>
        <w:spacing w:line="360" w:lineRule="auto"/>
        <w:ind w:firstLine="420" w:firstLineChars="200"/>
      </w:pPr>
      <w:r>
        <w:rPr>
          <w:rFonts w:hint="eastAsia"/>
        </w:rPr>
        <w:t>投标人协助实施机构及时掌握工期进度，对可能出现关键工期延后的情况及时预警；投标人协助审核工期进度表，对明显出现延误的程序及时提醒实施机构进行审核和问询；确需延期的，项目公司编制材料说明和证明文件，投标人协助实施机构审核相关文件，提供咨询意见，并分析对PPP合同履行造成的影响以供采购人参考。</w:t>
      </w:r>
    </w:p>
    <w:p>
      <w:pPr>
        <w:rPr>
          <w:rFonts w:hint="eastAsia"/>
        </w:rPr>
      </w:pPr>
      <w:r>
        <w:rPr>
          <w:rFonts w:hint="default"/>
          <w:lang w:val="en"/>
        </w:rPr>
        <w:t xml:space="preserve">    </w:t>
      </w:r>
      <w:r>
        <w:rPr>
          <w:rFonts w:hint="eastAsia"/>
          <w:lang w:val="en-US" w:eastAsia="zh-CN"/>
        </w:rPr>
        <w:t>4</w:t>
      </w:r>
      <w:r>
        <w:rPr>
          <w:rFonts w:hint="default"/>
          <w:lang w:val="en"/>
        </w:rPr>
        <w:t>.</w:t>
      </w:r>
      <w:r>
        <w:rPr>
          <w:rFonts w:hint="eastAsia"/>
        </w:rPr>
        <w:t>PPP项目建设</w:t>
      </w:r>
      <w:r>
        <w:rPr>
          <w:rFonts w:hint="eastAsia"/>
          <w:lang w:eastAsia="zh-CN"/>
        </w:rPr>
        <w:t>和运营初期</w:t>
      </w:r>
      <w:r>
        <w:rPr>
          <w:rFonts w:hint="eastAsia"/>
        </w:rPr>
        <w:t>过程绩效考核</w:t>
      </w:r>
    </w:p>
    <w:p>
      <w:pPr>
        <w:spacing w:line="360" w:lineRule="auto"/>
        <w:ind w:firstLine="420" w:firstLineChars="200"/>
        <w:rPr>
          <w:rFonts w:hint="eastAsia"/>
          <w:lang w:eastAsia="zh-CN"/>
        </w:rPr>
      </w:pPr>
      <w:r>
        <w:rPr>
          <w:rFonts w:hint="eastAsia"/>
          <w:lang w:eastAsia="zh-CN"/>
        </w:rPr>
        <w:t>（</w:t>
      </w:r>
      <w:r>
        <w:rPr>
          <w:rFonts w:hint="eastAsia"/>
          <w:lang w:val="en-US" w:eastAsia="zh-CN"/>
        </w:rPr>
        <w:t>1</w:t>
      </w:r>
      <w:r>
        <w:rPr>
          <w:rFonts w:hint="eastAsia"/>
          <w:lang w:eastAsia="zh-CN"/>
        </w:rPr>
        <w:t>）建设期绩效考核</w:t>
      </w:r>
    </w:p>
    <w:p>
      <w:pPr>
        <w:spacing w:line="360" w:lineRule="auto"/>
        <w:ind w:firstLine="420" w:firstLineChars="200"/>
      </w:pPr>
      <w:r>
        <w:rPr>
          <w:rFonts w:hint="eastAsia"/>
        </w:rPr>
        <w:t>工程建设绩效考核包含建设施工过程考核和工程建设期末考核两部分，投标人协助开展建设期绩效考核工作，编制建设期绩效考核细则、建设期绩效考核工作方案和建设期绩效评价报告等文件，根据PPP合同规定的内容，对项目公司建设期施工过程进行绩效考核。根据《市政公用设施建设项目后评价导则》、《大型公共建筑项目评价导则》、《关于印发〈政府和社会资本合作（PPP）项目绩效管理操作指引〉的通知》（财金〔2020〕13号）等文件，在项目建设期结束后结合竣工验收开展建设期绩效评价工作（分期建设的项目应当结合各期子项目竣工验收开展绩效评价），对PPP合同约定的项目产出、目标完成情况、实施效果效益等进行全面评价，分析问题，为项目后续运营总结经验。</w:t>
      </w:r>
    </w:p>
    <w:p>
      <w:pPr>
        <w:spacing w:line="360" w:lineRule="auto"/>
        <w:ind w:firstLine="420" w:firstLineChars="200"/>
        <w:rPr>
          <w:rFonts w:hint="eastAsia" w:eastAsia="宋体"/>
          <w:lang w:eastAsia="zh-CN"/>
        </w:rPr>
      </w:pPr>
      <w:r>
        <w:rPr>
          <w:rFonts w:hint="eastAsia"/>
          <w:lang w:eastAsia="zh-CN"/>
        </w:rPr>
        <w:t>（</w:t>
      </w:r>
      <w:r>
        <w:rPr>
          <w:rFonts w:hint="eastAsia"/>
          <w:lang w:val="en-US" w:eastAsia="zh-CN"/>
        </w:rPr>
        <w:t>2</w:t>
      </w:r>
      <w:r>
        <w:rPr>
          <w:rFonts w:hint="eastAsia"/>
          <w:lang w:eastAsia="zh-CN"/>
        </w:rPr>
        <w:t>）运营初期绩效考核</w:t>
      </w:r>
    </w:p>
    <w:p>
      <w:pPr>
        <w:pStyle w:val="2"/>
        <w:spacing w:before="156" w:after="156"/>
        <w:ind w:firstLine="420"/>
        <w:rPr>
          <w:rFonts w:hint="eastAsia"/>
          <w:b w:val="0"/>
          <w:bCs w:val="0"/>
          <w:sz w:val="21"/>
        </w:rPr>
      </w:pPr>
      <w:r>
        <w:rPr>
          <w:b w:val="0"/>
          <w:bCs w:val="0"/>
          <w:sz w:val="21"/>
        </w:rPr>
        <w:t>PPP</w:t>
      </w:r>
      <w:r>
        <w:rPr>
          <w:rFonts w:hint="eastAsia"/>
          <w:b w:val="0"/>
          <w:bCs w:val="0"/>
          <w:sz w:val="21"/>
        </w:rPr>
        <w:t>项目运营初期绩效考核在服务期末或运营期第一年末完成，投标人协助开展</w:t>
      </w:r>
      <w:r>
        <w:rPr>
          <w:b w:val="0"/>
          <w:bCs w:val="0"/>
          <w:sz w:val="21"/>
        </w:rPr>
        <w:t>PPP</w:t>
      </w:r>
      <w:r>
        <w:rPr>
          <w:rFonts w:hint="eastAsia"/>
          <w:b w:val="0"/>
          <w:bCs w:val="0"/>
          <w:sz w:val="21"/>
        </w:rPr>
        <w:t>项目运营初期绩效考核工作，编制绩效考核细则、绩效考核工作方案和绩效评价报告等文件，根据</w:t>
      </w:r>
      <w:r>
        <w:rPr>
          <w:b w:val="0"/>
          <w:bCs w:val="0"/>
          <w:sz w:val="21"/>
        </w:rPr>
        <w:t>PPP</w:t>
      </w:r>
      <w:r>
        <w:rPr>
          <w:rFonts w:hint="eastAsia"/>
          <w:b w:val="0"/>
          <w:bCs w:val="0"/>
          <w:sz w:val="21"/>
        </w:rPr>
        <w:t>合同规定的内容，对项目公司运营初期进行绩效考核。</w:t>
      </w:r>
    </w:p>
    <w:p>
      <w:pPr>
        <w:rPr>
          <w:rFonts w:hint="eastAsia"/>
        </w:rPr>
      </w:pPr>
      <w:r>
        <w:rPr>
          <w:rFonts w:hint="default"/>
          <w:lang w:val="en"/>
        </w:rPr>
        <w:t xml:space="preserve">    </w:t>
      </w:r>
      <w:r>
        <w:rPr>
          <w:rFonts w:hint="eastAsia"/>
          <w:lang w:val="en-US" w:eastAsia="zh-CN"/>
        </w:rPr>
        <w:t>5</w:t>
      </w:r>
      <w:r>
        <w:rPr>
          <w:rFonts w:hint="default"/>
          <w:lang w:val="en"/>
        </w:rPr>
        <w:t>.</w:t>
      </w:r>
      <w:r>
        <w:rPr>
          <w:rFonts w:hint="eastAsia"/>
        </w:rPr>
        <w:t>配合PPP项目审计回复（如有）</w:t>
      </w:r>
    </w:p>
    <w:p>
      <w:pPr>
        <w:pStyle w:val="2"/>
        <w:spacing w:before="156" w:after="156"/>
        <w:ind w:firstLine="420"/>
        <w:rPr>
          <w:rFonts w:hint="eastAsia"/>
          <w:b w:val="0"/>
          <w:bCs w:val="0"/>
          <w:sz w:val="21"/>
        </w:rPr>
      </w:pPr>
      <w:r>
        <w:rPr>
          <w:rFonts w:hint="eastAsia"/>
          <w:b w:val="0"/>
          <w:bCs w:val="0"/>
          <w:sz w:val="21"/>
        </w:rPr>
        <w:t>若政府部门对本PPP项目开展审计时，需协助采购人对照审计意见进行回复或整改，提供技术支持和咨询意见。</w:t>
      </w:r>
    </w:p>
    <w:p>
      <w:pPr>
        <w:spacing w:line="360" w:lineRule="auto"/>
        <w:ind w:firstLine="420" w:firstLineChars="200"/>
        <w:rPr>
          <w:rFonts w:hint="eastAsia"/>
        </w:rPr>
      </w:pPr>
      <w:r>
        <w:rPr>
          <w:rFonts w:hint="eastAsia"/>
          <w:lang w:val="en-US" w:eastAsia="zh-CN"/>
        </w:rPr>
        <w:t>6.</w:t>
      </w:r>
      <w:r>
        <w:rPr>
          <w:rFonts w:hint="eastAsia"/>
        </w:rPr>
        <w:t>开展政府付费测算</w:t>
      </w:r>
    </w:p>
    <w:p>
      <w:pPr>
        <w:spacing w:line="360" w:lineRule="auto"/>
        <w:ind w:firstLine="420" w:firstLineChars="200"/>
        <w:rPr>
          <w:rFonts w:hint="eastAsia"/>
        </w:rPr>
      </w:pPr>
      <w:r>
        <w:rPr>
          <w:rFonts w:hint="eastAsia"/>
        </w:rPr>
        <w:t>在建设期结束后，在第三方造价审核单位确认的工程决算价基础上，按照国家有关制度和规定，对指定的建设项目依据合同、相关资料，以及各种有效的定额指标和项目付费机制，就政府可行性缺口补助重新进行测算，为运营期可行性缺口补助提供依据。</w:t>
      </w:r>
    </w:p>
    <w:p>
      <w:pPr>
        <w:spacing w:line="360" w:lineRule="auto"/>
        <w:ind w:firstLine="420" w:firstLineChars="200"/>
        <w:rPr>
          <w:rFonts w:hint="eastAsia"/>
          <w:lang w:val="zh-CN"/>
        </w:rPr>
      </w:pPr>
      <w:r>
        <w:rPr>
          <w:rFonts w:hint="eastAsia"/>
          <w:lang w:val="en-US" w:eastAsia="zh-CN"/>
        </w:rPr>
        <w:t>7.</w:t>
      </w:r>
      <w:r>
        <w:rPr>
          <w:rFonts w:hint="eastAsia"/>
          <w:lang w:val="zh-CN"/>
        </w:rPr>
        <w:t>其他协调事宜</w:t>
      </w:r>
    </w:p>
    <w:p>
      <w:pPr>
        <w:spacing w:line="360" w:lineRule="auto"/>
        <w:ind w:firstLine="420" w:firstLineChars="200"/>
        <w:rPr>
          <w:rFonts w:hint="eastAsia"/>
          <w:b w:val="0"/>
          <w:bCs w:val="0"/>
          <w:sz w:val="21"/>
        </w:rPr>
      </w:pPr>
      <w:r>
        <w:rPr>
          <w:rFonts w:hint="eastAsia"/>
          <w:lang w:val="zh-CN"/>
        </w:rPr>
        <w:t>协助采购人，在建设期监督并协调监理、造价咨询等单位的履约，对本项目工程的施工进度、建设安全及质量等进行协调；在运营初期</w:t>
      </w:r>
      <w:r>
        <w:rPr>
          <w:rFonts w:hint="eastAsia"/>
          <w:b w:val="0"/>
          <w:bCs w:val="0"/>
          <w:sz w:val="21"/>
        </w:rPr>
        <w:t>监督并协调运营维护承包单位等的履约，对本项目运营和维护质量、安全、目标等进行协调。</w:t>
      </w:r>
    </w:p>
    <w:p>
      <w:pPr>
        <w:pStyle w:val="6"/>
        <w:ind w:firstLine="420" w:firstLineChars="200"/>
        <w:rPr>
          <w:b w:val="0"/>
          <w:bCs w:val="0"/>
          <w:sz w:val="21"/>
        </w:rPr>
      </w:pPr>
      <w:r>
        <w:rPr>
          <w:rFonts w:hint="eastAsia"/>
          <w:b w:val="0"/>
          <w:bCs w:val="0"/>
          <w:sz w:val="21"/>
          <w:lang w:eastAsia="zh-CN"/>
        </w:rPr>
        <w:t>（四）</w:t>
      </w:r>
      <w:r>
        <w:rPr>
          <w:rFonts w:hint="eastAsia"/>
          <w:b w:val="0"/>
          <w:bCs w:val="0"/>
          <w:sz w:val="21"/>
        </w:rPr>
        <w:t>其它工作要求</w:t>
      </w:r>
    </w:p>
    <w:p>
      <w:pPr>
        <w:ind w:firstLine="420" w:firstLineChars="200"/>
      </w:pPr>
      <w:r>
        <w:rPr>
          <w:rFonts w:hint="eastAsia"/>
        </w:rPr>
        <w:t>采购人委托中标人依据PPP项目合同</w:t>
      </w:r>
      <w:r>
        <w:rPr>
          <w:rFonts w:hint="eastAsia"/>
          <w:lang w:eastAsia="zh-CN"/>
        </w:rPr>
        <w:t>约定，需</w:t>
      </w:r>
      <w:r>
        <w:rPr>
          <w:rFonts w:hint="eastAsia"/>
        </w:rPr>
        <w:t>开展</w:t>
      </w:r>
      <w:r>
        <w:rPr>
          <w:rFonts w:hint="eastAsia"/>
          <w:lang w:eastAsia="zh-CN"/>
        </w:rPr>
        <w:t>其他</w:t>
      </w:r>
      <w:r>
        <w:rPr>
          <w:rFonts w:hint="eastAsia"/>
        </w:rPr>
        <w:t>的工作</w:t>
      </w:r>
      <w:r>
        <w:rPr>
          <w:rFonts w:hint="eastAsia"/>
          <w:lang w:eastAsia="zh-CN"/>
        </w:rPr>
        <w:t>，具体以</w:t>
      </w:r>
      <w:r>
        <w:rPr>
          <w:rFonts w:hint="eastAsia"/>
          <w:lang w:val="en-US" w:eastAsia="zh-CN"/>
        </w:rPr>
        <w:t>PPP项目合同为准</w:t>
      </w:r>
      <w:r>
        <w:rPr>
          <w:rFonts w:hint="eastAsia"/>
        </w:rPr>
        <w:t>。</w:t>
      </w:r>
    </w:p>
    <w:p>
      <w:pPr>
        <w:ind w:firstLine="210" w:firstLineChars="100"/>
      </w:pPr>
    </w:p>
    <w:p>
      <w:pPr>
        <w:numPr>
          <w:ilvl w:val="255"/>
          <w:numId w:val="0"/>
        </w:numPr>
      </w:pPr>
      <w:r>
        <w:rPr>
          <w:rFonts w:hint="eastAsia"/>
        </w:rPr>
        <w:t xml:space="preserve"> </w:t>
      </w:r>
      <w:r>
        <w:t xml:space="preserve">   </w:t>
      </w:r>
      <w:r>
        <w:rPr>
          <w:rFonts w:hint="eastAsia"/>
        </w:rPr>
        <w:t>有关建设期和运营期监管要点可参考附件《建设期、运营期监管要点一览表》，本表仅供投标人参考，不代表委托服务的全部内容。</w:t>
      </w:r>
    </w:p>
    <w:p>
      <w:pPr>
        <w:spacing w:line="360" w:lineRule="auto"/>
        <w:rPr>
          <w:b/>
          <w:bCs/>
          <w:lang w:val="zh-CN"/>
        </w:rPr>
      </w:pPr>
      <w:bookmarkStart w:id="30" w:name="_GoBack"/>
      <w:bookmarkEnd w:id="30"/>
      <w:r>
        <w:rPr>
          <w:rFonts w:hint="eastAsia"/>
          <w:b/>
          <w:bCs/>
          <w:lang w:val="zh-CN"/>
        </w:rPr>
        <w:t>四、服务要求</w:t>
      </w:r>
    </w:p>
    <w:p>
      <w:pPr>
        <w:spacing w:line="360" w:lineRule="auto"/>
        <w:ind w:firstLine="420" w:firstLineChars="200"/>
      </w:pPr>
      <w:r>
        <w:rPr>
          <w:rFonts w:hint="eastAsia"/>
        </w:rPr>
        <w:t>★中标人需组建至少5人的项目团队（其中项目负责人需具备副高级或以上职称，团队其他成员中配备副高级或以上职称不少于1人，注册造价工程师不少于1人，注册咨询工程师（投资）不少于1人，经济师或工程师不少于1人）</w:t>
      </w:r>
      <w:bookmarkStart w:id="6" w:name="_Toc1961"/>
      <w:bookmarkStart w:id="7" w:name="_Toc25635"/>
      <w:bookmarkStart w:id="8" w:name="_Toc15316"/>
      <w:r>
        <w:rPr>
          <w:rFonts w:hint="eastAsia"/>
        </w:rPr>
        <w:t>。在合同执行期内，项目负责人负责人员安排、工作调度、资料汇报、数据交接、报告提交、安全管理等项目内相关工作。</w:t>
      </w:r>
      <w:bookmarkEnd w:id="6"/>
      <w:bookmarkEnd w:id="7"/>
      <w:bookmarkEnd w:id="8"/>
      <w:r>
        <w:rPr>
          <w:rFonts w:hint="eastAsia"/>
        </w:rPr>
        <w:t>未经采购人同意，中标人不得中途更换项目负责人。中标人如因特殊原因中途需要更换项目负责人，必须事先向采购人提交书面申请，采购人书面同意之后，方可更换。（提供人员资格证书，及社保证明）</w:t>
      </w:r>
    </w:p>
    <w:p>
      <w:pPr>
        <w:spacing w:line="360" w:lineRule="auto"/>
        <w:ind w:firstLine="420" w:firstLineChars="200"/>
      </w:pPr>
      <w:r>
        <w:rPr>
          <w:rFonts w:hint="eastAsia"/>
        </w:rPr>
        <w:t>1.★项目团队必须保障在接收采购人的服务指令时2小时内响应，并按采购人要求及时提供相关服务。</w:t>
      </w:r>
      <w:r>
        <w:rPr>
          <w:rFonts w:hint="eastAsia"/>
          <w:b/>
          <w:bCs/>
        </w:rPr>
        <w:t>（提供承诺函，格式自拟）</w:t>
      </w:r>
    </w:p>
    <w:p>
      <w:pPr>
        <w:spacing w:line="360" w:lineRule="auto"/>
        <w:ind w:firstLine="420" w:firstLineChars="200"/>
      </w:pPr>
      <w:r>
        <w:rPr>
          <w:rFonts w:hint="eastAsia"/>
        </w:rPr>
        <w:t>2.按照现行有关规范、规程、技术标准和要求以及采购文件的约定，按期保质保量完成相关咨询工作，及时提交咨询成果并对成果负责。</w:t>
      </w:r>
    </w:p>
    <w:p>
      <w:pPr>
        <w:spacing w:line="360" w:lineRule="auto"/>
        <w:ind w:firstLine="420" w:firstLineChars="200"/>
      </w:pPr>
      <w:r>
        <w:rPr>
          <w:rFonts w:hint="eastAsia"/>
        </w:rPr>
        <w:t>3.协助采购人制定详细的建设期监管服务工作计划，按照行业部门要求对建设阶段运作过程进行总体把控。</w:t>
      </w:r>
    </w:p>
    <w:p>
      <w:pPr>
        <w:spacing w:line="360" w:lineRule="auto"/>
        <w:ind w:firstLine="420" w:firstLineChars="200"/>
      </w:pPr>
      <w:r>
        <w:rPr>
          <w:rFonts w:hint="eastAsia"/>
        </w:rPr>
        <w:t>4.协助采购人协调项目各方关系，加强沟通，协助采购人督促项目公司按计划完成项目工程建设。</w:t>
      </w:r>
    </w:p>
    <w:p>
      <w:pPr>
        <w:spacing w:line="360" w:lineRule="auto"/>
        <w:ind w:firstLine="420" w:firstLineChars="200"/>
      </w:pPr>
      <w:bookmarkStart w:id="9" w:name="_Toc7427"/>
      <w:bookmarkStart w:id="10" w:name="_Toc5639"/>
      <w:bookmarkStart w:id="11" w:name="_Toc18868"/>
      <w:r>
        <w:rPr>
          <w:rFonts w:hint="eastAsia"/>
        </w:rPr>
        <w:t>5.服务期结束后，中标人有义务配合采购人和上级主管部门关于项目</w:t>
      </w:r>
      <w:bookmarkStart w:id="12" w:name="_Hlk96613448"/>
      <w:r>
        <w:rPr>
          <w:rFonts w:hint="eastAsia"/>
        </w:rPr>
        <w:t>建设期监管服务</w:t>
      </w:r>
      <w:bookmarkEnd w:id="12"/>
      <w:r>
        <w:rPr>
          <w:rFonts w:hint="eastAsia"/>
        </w:rPr>
        <w:t>期间的工作情况等的跟踪调查，必要时须及时作出口头或书面回复。</w:t>
      </w:r>
      <w:bookmarkEnd w:id="9"/>
      <w:bookmarkEnd w:id="10"/>
      <w:bookmarkEnd w:id="11"/>
    </w:p>
    <w:p>
      <w:pPr>
        <w:spacing w:line="360" w:lineRule="auto"/>
        <w:ind w:firstLine="420" w:firstLineChars="200"/>
      </w:pPr>
      <w:bookmarkStart w:id="13" w:name="_Toc24047"/>
      <w:bookmarkStart w:id="14" w:name="_Toc19180"/>
      <w:bookmarkStart w:id="15" w:name="_Toc26417"/>
      <w:r>
        <w:rPr>
          <w:rFonts w:hint="eastAsia"/>
        </w:rPr>
        <w:t>6.咨询成果应符合国家、广东省、广州市相关部门对于PPP项目的要求和规定，未达到要求的，咨询单位应按规定的要求完善、修改。项目所形成成果归采购人所有，未经采购人书面同意，中标人不得以任何方式使用服务成果，亦不得以任何方式转让或者许可第三方使用服务成果。</w:t>
      </w:r>
    </w:p>
    <w:p>
      <w:pPr>
        <w:spacing w:line="360" w:lineRule="auto"/>
        <w:ind w:firstLine="420" w:firstLineChars="200"/>
      </w:pPr>
      <w:r>
        <w:rPr>
          <w:rFonts w:hint="eastAsia"/>
        </w:rPr>
        <w:t>7.中标人应承担检查情况和相关资料、数据的保密责任，除按照采购人的要求进行报告和传输有关的资料和数据外，不得向外界传递其它任何相关信息。未经采购人同意，中标人不得利用本项目的所有资料对外开展技术交流、业务联系、数据交换等。</w:t>
      </w:r>
      <w:bookmarkEnd w:id="13"/>
      <w:bookmarkEnd w:id="14"/>
      <w:bookmarkEnd w:id="15"/>
    </w:p>
    <w:p>
      <w:pPr>
        <w:spacing w:line="360" w:lineRule="auto"/>
        <w:ind w:firstLine="420" w:firstLineChars="200"/>
      </w:pPr>
      <w:r>
        <w:rPr>
          <w:rFonts w:hint="eastAsia"/>
        </w:rPr>
        <w:t>8.中标人在本项目服务结束后，应形成工作报告及工作相关建议，并递交给采购人审核。</w:t>
      </w:r>
    </w:p>
    <w:p/>
    <w:p>
      <w:pPr>
        <w:spacing w:line="360" w:lineRule="auto"/>
        <w:rPr>
          <w:b/>
          <w:bCs/>
          <w:lang w:val="zh-CN"/>
        </w:rPr>
      </w:pPr>
      <w:r>
        <w:rPr>
          <w:rFonts w:hint="eastAsia"/>
          <w:b/>
          <w:bCs/>
          <w:lang w:val="zh-CN"/>
        </w:rPr>
        <w:t>五、采购项目商务要求</w:t>
      </w:r>
    </w:p>
    <w:p>
      <w:pPr>
        <w:spacing w:line="360" w:lineRule="auto"/>
        <w:ind w:firstLine="420" w:firstLineChars="200"/>
      </w:pPr>
      <w:r>
        <w:rPr>
          <w:rFonts w:hint="eastAsia"/>
        </w:rPr>
        <w:t>（一）服务期</w:t>
      </w:r>
    </w:p>
    <w:p>
      <w:pPr>
        <w:spacing w:line="360" w:lineRule="auto"/>
        <w:ind w:firstLine="420" w:firstLineChars="200"/>
      </w:pPr>
      <w:r>
        <w:rPr>
          <w:rFonts w:hint="eastAsia"/>
        </w:rPr>
        <w:t>自签订服务合同起至项目正式进入运营期后一年，</w:t>
      </w:r>
      <w:r>
        <w:rPr>
          <w:rFonts w:hint="eastAsia"/>
          <w:lang w:eastAsia="zh-CN"/>
        </w:rPr>
        <w:t>或</w:t>
      </w:r>
      <w:r>
        <w:rPr>
          <w:rFonts w:hint="eastAsia"/>
        </w:rPr>
        <w:t>合同签订之日起两年，以先到时间为准。</w:t>
      </w:r>
    </w:p>
    <w:p>
      <w:pPr>
        <w:spacing w:line="360" w:lineRule="auto"/>
        <w:ind w:firstLine="420" w:firstLineChars="200"/>
      </w:pPr>
      <w:r>
        <w:rPr>
          <w:rFonts w:hint="eastAsia"/>
        </w:rPr>
        <w:t>（二）服务地点</w:t>
      </w:r>
    </w:p>
    <w:p>
      <w:pPr>
        <w:spacing w:line="360" w:lineRule="auto"/>
        <w:ind w:firstLine="420" w:firstLineChars="200"/>
      </w:pPr>
      <w:r>
        <w:rPr>
          <w:rFonts w:hint="eastAsia"/>
        </w:rPr>
        <w:t>广州市。</w:t>
      </w:r>
    </w:p>
    <w:p>
      <w:pPr>
        <w:spacing w:line="360" w:lineRule="auto"/>
        <w:ind w:firstLine="420" w:firstLineChars="200"/>
      </w:pPr>
      <w:r>
        <w:rPr>
          <w:rFonts w:hint="eastAsia"/>
        </w:rPr>
        <w:t>（三）付款方式</w:t>
      </w:r>
    </w:p>
    <w:p>
      <w:pPr>
        <w:spacing w:line="360" w:lineRule="auto"/>
        <w:ind w:firstLine="420" w:firstLineChars="200"/>
      </w:pPr>
      <w:r>
        <w:rPr>
          <w:rFonts w:hint="eastAsia"/>
        </w:rPr>
        <w:t>1.履约监管服务费（即合同价款）第一次支付在正式采购合同签订生效后十五个工作日内，支付合同金额的30%；第二次支付时间为出具项目建设期绩效评价报告后十五个工作日内，支付合同金额的40%；第三次支付时间为项目服务期结束后且相关成果文件经采购人验收合格后的十五个工作日内，支付合同金额的30%。</w:t>
      </w:r>
    </w:p>
    <w:p>
      <w:pPr>
        <w:spacing w:line="360" w:lineRule="auto"/>
        <w:ind w:firstLine="420" w:firstLineChars="200"/>
      </w:pPr>
      <w:r>
        <w:rPr>
          <w:rFonts w:hint="eastAsia"/>
        </w:rPr>
        <w:t>2.中标人须提交符合财政部门审批要求的请款资料及提供同等金额的发票后，方可支付。</w:t>
      </w:r>
    </w:p>
    <w:p>
      <w:pPr>
        <w:spacing w:line="360" w:lineRule="auto"/>
        <w:ind w:firstLine="420" w:firstLineChars="200"/>
      </w:pPr>
      <w:r>
        <w:rPr>
          <w:rFonts w:hint="eastAsia"/>
        </w:rPr>
        <w:t>3.本项目的服务费由政府拨款，中标人提交了完整的请款资料及增值税发票经采购人审批后视为已经履行了支付手续。相关付款应严格遵守广州市财政资金支付程序规定，如因执行该程序而使拨款未能及时到位，中标人不得以此为由而不履行本合同规定的义务，也不得以此追究采购人任何形式的违约责任。</w:t>
      </w:r>
    </w:p>
    <w:p/>
    <w:p>
      <w:pPr>
        <w:spacing w:line="360" w:lineRule="auto"/>
        <w:rPr>
          <w:b/>
          <w:bCs/>
          <w:lang w:val="zh-CN"/>
        </w:rPr>
      </w:pPr>
      <w:bookmarkStart w:id="16" w:name="_Toc407"/>
      <w:bookmarkStart w:id="17" w:name="_Toc16762"/>
      <w:r>
        <w:rPr>
          <w:rFonts w:hint="eastAsia"/>
          <w:b/>
          <w:bCs/>
          <w:lang w:val="zh-CN"/>
        </w:rPr>
        <w:t>六、特别提示</w:t>
      </w:r>
      <w:bookmarkEnd w:id="16"/>
      <w:bookmarkEnd w:id="17"/>
    </w:p>
    <w:p>
      <w:pPr>
        <w:spacing w:line="360" w:lineRule="auto"/>
        <w:ind w:firstLine="420" w:firstLineChars="200"/>
      </w:pPr>
      <w:bookmarkStart w:id="18" w:name="_Toc17116"/>
      <w:bookmarkStart w:id="19" w:name="_Toc3465"/>
      <w:bookmarkStart w:id="20" w:name="_Toc32562"/>
      <w:r>
        <w:rPr>
          <w:rFonts w:hint="eastAsia"/>
        </w:rPr>
        <w:t>1.本次采购的服务费用为包干价，服务期暂定为不超过两年，因工作时间和现场条件原因造成中标人支出的增加，采购人不再另行增加服务费用。</w:t>
      </w:r>
      <w:bookmarkEnd w:id="18"/>
      <w:bookmarkEnd w:id="19"/>
      <w:bookmarkEnd w:id="20"/>
      <w:bookmarkStart w:id="21" w:name="_Toc14727"/>
      <w:bookmarkStart w:id="22" w:name="_Toc9464"/>
      <w:bookmarkStart w:id="23" w:name="_Toc864"/>
    </w:p>
    <w:p>
      <w:pPr>
        <w:spacing w:line="360" w:lineRule="auto"/>
        <w:ind w:firstLine="420" w:firstLineChars="200"/>
      </w:pPr>
      <w:r>
        <w:rPr>
          <w:rFonts w:hint="eastAsia"/>
        </w:rPr>
        <w:t>2.投标人应充分理解并认真遵循本文件的要求，如发现文件有缺漏或不一致或有不同的理解时，应及时提请采购人补充和澄清，否则，按采购人的理解和项目的实际要求执行。</w:t>
      </w:r>
      <w:bookmarkEnd w:id="21"/>
      <w:bookmarkEnd w:id="22"/>
      <w:bookmarkEnd w:id="23"/>
    </w:p>
    <w:p>
      <w:pPr>
        <w:spacing w:line="360" w:lineRule="auto"/>
        <w:ind w:firstLine="420" w:firstLineChars="200"/>
      </w:pPr>
      <w:r>
        <w:rPr>
          <w:rFonts w:hint="eastAsia"/>
        </w:rPr>
        <w:t>3.采购人尽最大能力提供本次项目的所有必要信息，但不承担由于信息披露的缺陷所带来的任何责任。</w:t>
      </w:r>
    </w:p>
    <w:p>
      <w:pPr>
        <w:spacing w:line="360" w:lineRule="auto"/>
        <w:ind w:firstLine="420" w:firstLineChars="200"/>
        <w:rPr>
          <w:rFonts w:ascii="宋体" w:hAnsi="宋体"/>
        </w:rPr>
      </w:pPr>
    </w:p>
    <w:p>
      <w:pPr>
        <w:rPr>
          <w:sz w:val="32"/>
          <w:szCs w:val="32"/>
        </w:rPr>
        <w:sectPr>
          <w:headerReference r:id="rId3" w:type="default"/>
          <w:footerReference r:id="rId4" w:type="default"/>
          <w:type w:val="continuous"/>
          <w:pgSz w:w="11906" w:h="16838"/>
          <w:pgMar w:top="1417" w:right="1304" w:bottom="1361" w:left="1361" w:header="737" w:footer="737" w:gutter="0"/>
          <w:pgNumType w:start="1"/>
          <w:cols w:space="720" w:num="1"/>
          <w:docGrid w:type="lines" w:linePitch="312" w:charSpace="0"/>
        </w:sectPr>
      </w:pPr>
      <w:bookmarkStart w:id="24" w:name="_Toc130180922"/>
      <w:bookmarkStart w:id="25" w:name="_Toc238282328"/>
      <w:bookmarkStart w:id="26" w:name="_Toc1039"/>
      <w:bookmarkStart w:id="27" w:name="_Toc130180736"/>
      <w:bookmarkStart w:id="28" w:name="_Toc3376"/>
      <w:bookmarkStart w:id="29" w:name="_Toc130180841"/>
      <w:r>
        <w:rPr>
          <w:rFonts w:hint="eastAsia"/>
          <w:sz w:val="32"/>
          <w:szCs w:val="32"/>
        </w:rPr>
        <w:br w:type="page"/>
      </w:r>
    </w:p>
    <w:p>
      <w:pPr>
        <w:widowControl/>
        <w:jc w:val="left"/>
        <w:rPr>
          <w:sz w:val="32"/>
          <w:szCs w:val="32"/>
        </w:rPr>
      </w:pPr>
      <w:r>
        <w:rPr>
          <w:rFonts w:hint="eastAsia"/>
          <w:b/>
          <w:bCs/>
          <w:sz w:val="32"/>
          <w:szCs w:val="32"/>
        </w:rPr>
        <w:t>附件</w:t>
      </w:r>
      <w:r>
        <w:rPr>
          <w:rFonts w:hint="eastAsia"/>
          <w:sz w:val="32"/>
          <w:szCs w:val="32"/>
        </w:rPr>
        <w:t>：建设期、运营期监管要点一览表（供参考）</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3198"/>
        <w:gridCol w:w="5156"/>
        <w:gridCol w:w="4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widowControl/>
              <w:jc w:val="left"/>
              <w:textAlignment w:val="center"/>
              <w:rPr>
                <w:rFonts w:ascii="宋体" w:hAnsi="宋体" w:cs="宋体"/>
                <w:b/>
                <w:bCs/>
                <w:sz w:val="22"/>
                <w:szCs w:val="22"/>
                <w:lang w:bidi="ar"/>
              </w:rPr>
            </w:pPr>
            <w:r>
              <w:rPr>
                <w:rFonts w:hint="eastAsia" w:ascii="宋体" w:hAnsi="宋体" w:cs="宋体"/>
                <w:b/>
                <w:bCs/>
                <w:sz w:val="22"/>
                <w:szCs w:val="22"/>
                <w:lang w:bidi="ar"/>
              </w:rPr>
              <w:t>一、建设期监管要点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序号</w:t>
            </w:r>
          </w:p>
        </w:tc>
        <w:tc>
          <w:tcPr>
            <w:tcW w:w="1120" w:type="pct"/>
            <w:vAlign w:val="center"/>
          </w:tcPr>
          <w:p>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条款号</w:t>
            </w:r>
          </w:p>
        </w:tc>
        <w:tc>
          <w:tcPr>
            <w:tcW w:w="1806" w:type="pct"/>
            <w:vAlign w:val="center"/>
          </w:tcPr>
          <w:p>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触发条件</w:t>
            </w:r>
          </w:p>
        </w:tc>
        <w:tc>
          <w:tcPr>
            <w:tcW w:w="1562" w:type="pct"/>
            <w:vAlign w:val="center"/>
          </w:tcPr>
          <w:p>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采取监管工作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pPr>
              <w:pStyle w:val="17"/>
              <w:ind w:firstLine="0" w:firstLineChars="0"/>
              <w:jc w:val="center"/>
              <w:rPr>
                <w:sz w:val="22"/>
                <w:szCs w:val="22"/>
              </w:rPr>
            </w:pPr>
            <w:r>
              <w:rPr>
                <w:rFonts w:hint="eastAsia"/>
                <w:sz w:val="22"/>
                <w:szCs w:val="22"/>
              </w:rPr>
              <w:t>1</w:t>
            </w:r>
          </w:p>
        </w:tc>
        <w:tc>
          <w:tcPr>
            <w:tcW w:w="1120" w:type="pct"/>
            <w:vAlign w:val="center"/>
          </w:tcPr>
          <w:p>
            <w:pPr>
              <w:pStyle w:val="17"/>
              <w:ind w:firstLine="0" w:firstLineChars="0"/>
              <w:jc w:val="center"/>
              <w:rPr>
                <w:sz w:val="22"/>
                <w:szCs w:val="22"/>
              </w:rPr>
            </w:pPr>
            <w:r>
              <w:rPr>
                <w:rFonts w:hint="eastAsia"/>
                <w:sz w:val="22"/>
                <w:szCs w:val="22"/>
              </w:rPr>
              <w:t>PPP项目合同10.3（1）</w:t>
            </w:r>
          </w:p>
        </w:tc>
        <w:tc>
          <w:tcPr>
            <w:tcW w:w="1806" w:type="pct"/>
            <w:vAlign w:val="center"/>
          </w:tcPr>
          <w:p>
            <w:pPr>
              <w:pStyle w:val="17"/>
              <w:ind w:firstLine="0" w:firstLineChars="0"/>
              <w:jc w:val="center"/>
              <w:rPr>
                <w:sz w:val="22"/>
                <w:szCs w:val="22"/>
              </w:rPr>
            </w:pPr>
            <w:r>
              <w:rPr>
                <w:rFonts w:hint="eastAsia" w:ascii="宋体" w:hAnsi="宋体"/>
                <w:sz w:val="22"/>
                <w:szCs w:val="22"/>
              </w:rPr>
              <w:t>PPP项目公司将项目所用土地用于本项目建设、获得融资之外的任何目的</w:t>
            </w:r>
          </w:p>
        </w:tc>
        <w:tc>
          <w:tcPr>
            <w:tcW w:w="1562" w:type="pct"/>
            <w:vAlign w:val="center"/>
          </w:tcPr>
          <w:p>
            <w:pPr>
              <w:pStyle w:val="17"/>
              <w:ind w:firstLine="0" w:firstLineChars="0"/>
              <w:jc w:val="center"/>
              <w:rPr>
                <w:sz w:val="22"/>
                <w:szCs w:val="22"/>
              </w:rPr>
            </w:pPr>
            <w:r>
              <w:rPr>
                <w:rFonts w:hint="eastAsia" w:ascii="宋体" w:hAnsi="宋体"/>
                <w:sz w:val="22"/>
                <w:szCs w:val="22"/>
              </w:rPr>
              <w:t>经工作会议研究并征求相关部门意见后，作出批示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 w:type="pct"/>
            <w:vAlign w:val="center"/>
          </w:tcPr>
          <w:p>
            <w:pPr>
              <w:pStyle w:val="17"/>
              <w:ind w:firstLine="0" w:firstLineChars="0"/>
              <w:jc w:val="center"/>
              <w:rPr>
                <w:sz w:val="22"/>
                <w:szCs w:val="22"/>
              </w:rPr>
            </w:pPr>
            <w:r>
              <w:rPr>
                <w:rFonts w:hint="eastAsia"/>
                <w:sz w:val="22"/>
                <w:szCs w:val="22"/>
              </w:rPr>
              <w:t>2</w:t>
            </w:r>
          </w:p>
        </w:tc>
        <w:tc>
          <w:tcPr>
            <w:tcW w:w="1120" w:type="pct"/>
            <w:vAlign w:val="center"/>
          </w:tcPr>
          <w:p>
            <w:pPr>
              <w:pStyle w:val="17"/>
              <w:ind w:firstLine="0" w:firstLineChars="0"/>
              <w:jc w:val="center"/>
              <w:rPr>
                <w:sz w:val="22"/>
                <w:szCs w:val="22"/>
              </w:rPr>
            </w:pPr>
            <w:r>
              <w:rPr>
                <w:rFonts w:hint="eastAsia"/>
                <w:sz w:val="22"/>
                <w:szCs w:val="22"/>
              </w:rPr>
              <w:t>PPP项目合同11.3（4）、</w:t>
            </w:r>
            <w:r>
              <w:rPr>
                <w:sz w:val="22"/>
                <w:szCs w:val="22"/>
              </w:rPr>
              <w:t>20.2</w:t>
            </w:r>
          </w:p>
        </w:tc>
        <w:tc>
          <w:tcPr>
            <w:tcW w:w="1806" w:type="pct"/>
            <w:vAlign w:val="center"/>
          </w:tcPr>
          <w:p>
            <w:pPr>
              <w:pStyle w:val="17"/>
              <w:ind w:firstLine="0" w:firstLineChars="0"/>
              <w:jc w:val="center"/>
              <w:rPr>
                <w:sz w:val="22"/>
                <w:szCs w:val="22"/>
              </w:rPr>
            </w:pPr>
            <w:r>
              <w:rPr>
                <w:rFonts w:hint="eastAsia" w:ascii="宋体" w:hAnsi="宋体"/>
                <w:sz w:val="22"/>
                <w:szCs w:val="22"/>
              </w:rPr>
              <w:t>设计变更、工程变更</w:t>
            </w:r>
          </w:p>
        </w:tc>
        <w:tc>
          <w:tcPr>
            <w:tcW w:w="1562" w:type="pct"/>
            <w:vAlign w:val="center"/>
          </w:tcPr>
          <w:p>
            <w:pPr>
              <w:pStyle w:val="17"/>
              <w:ind w:firstLine="0" w:firstLineChars="0"/>
              <w:jc w:val="center"/>
              <w:rPr>
                <w:sz w:val="22"/>
                <w:szCs w:val="22"/>
              </w:rPr>
            </w:pPr>
            <w:r>
              <w:rPr>
                <w:rFonts w:hint="eastAsia" w:ascii="宋体" w:hAnsi="宋体"/>
                <w:sz w:val="22"/>
                <w:szCs w:val="22"/>
              </w:rPr>
              <w:t>经研究讨论、征求相关部门意见后，作出书面批准文件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pPr>
              <w:pStyle w:val="17"/>
              <w:ind w:firstLine="0" w:firstLineChars="0"/>
              <w:jc w:val="center"/>
              <w:rPr>
                <w:sz w:val="22"/>
                <w:szCs w:val="22"/>
              </w:rPr>
            </w:pPr>
            <w:r>
              <w:rPr>
                <w:rFonts w:hint="eastAsia"/>
                <w:sz w:val="22"/>
                <w:szCs w:val="22"/>
              </w:rPr>
              <w:t>3</w:t>
            </w:r>
          </w:p>
        </w:tc>
        <w:tc>
          <w:tcPr>
            <w:tcW w:w="1120" w:type="pct"/>
            <w:vAlign w:val="center"/>
          </w:tcPr>
          <w:p>
            <w:pPr>
              <w:pStyle w:val="17"/>
              <w:ind w:firstLine="0" w:firstLineChars="0"/>
              <w:jc w:val="center"/>
              <w:rPr>
                <w:sz w:val="22"/>
                <w:szCs w:val="22"/>
              </w:rPr>
            </w:pPr>
            <w:r>
              <w:rPr>
                <w:rFonts w:hint="eastAsia"/>
                <w:sz w:val="22"/>
                <w:szCs w:val="22"/>
              </w:rPr>
              <w:t>PPP项目合同25.2</w:t>
            </w:r>
          </w:p>
        </w:tc>
        <w:tc>
          <w:tcPr>
            <w:tcW w:w="1806" w:type="pct"/>
            <w:vAlign w:val="center"/>
          </w:tcPr>
          <w:p>
            <w:pPr>
              <w:pStyle w:val="17"/>
              <w:ind w:firstLine="0" w:firstLineChars="0"/>
              <w:jc w:val="center"/>
              <w:rPr>
                <w:sz w:val="22"/>
                <w:szCs w:val="22"/>
              </w:rPr>
            </w:pPr>
            <w:r>
              <w:rPr>
                <w:rFonts w:hint="eastAsia" w:ascii="宋体" w:hAnsi="宋体"/>
                <w:sz w:val="22"/>
                <w:szCs w:val="22"/>
              </w:rPr>
              <w:t>工程费结算时变更工程综合单价的调整</w:t>
            </w:r>
          </w:p>
        </w:tc>
        <w:tc>
          <w:tcPr>
            <w:tcW w:w="1562" w:type="pct"/>
            <w:vAlign w:val="center"/>
          </w:tcPr>
          <w:p>
            <w:pPr>
              <w:pStyle w:val="17"/>
              <w:ind w:firstLine="0" w:firstLineChars="0"/>
              <w:jc w:val="center"/>
              <w:rPr>
                <w:sz w:val="22"/>
                <w:szCs w:val="22"/>
              </w:rPr>
            </w:pPr>
            <w:r>
              <w:rPr>
                <w:rFonts w:hint="eastAsia" w:ascii="宋体" w:hAnsi="宋体"/>
                <w:sz w:val="22"/>
                <w:szCs w:val="22"/>
              </w:rPr>
              <w:t>通过工作会议开展内部讨论研究并进行确认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pPr>
              <w:pStyle w:val="17"/>
              <w:ind w:firstLine="0" w:firstLineChars="0"/>
              <w:jc w:val="center"/>
              <w:rPr>
                <w:sz w:val="22"/>
                <w:szCs w:val="22"/>
              </w:rPr>
            </w:pPr>
            <w:r>
              <w:rPr>
                <w:rFonts w:hint="eastAsia"/>
                <w:sz w:val="22"/>
                <w:szCs w:val="22"/>
              </w:rPr>
              <w:t>4</w:t>
            </w:r>
          </w:p>
        </w:tc>
        <w:tc>
          <w:tcPr>
            <w:tcW w:w="1120" w:type="pct"/>
            <w:vAlign w:val="center"/>
          </w:tcPr>
          <w:p>
            <w:pPr>
              <w:pStyle w:val="17"/>
              <w:ind w:firstLine="0" w:firstLineChars="0"/>
              <w:jc w:val="center"/>
              <w:rPr>
                <w:sz w:val="22"/>
                <w:szCs w:val="22"/>
              </w:rPr>
            </w:pPr>
            <w:r>
              <w:rPr>
                <w:rFonts w:hint="eastAsia"/>
                <w:sz w:val="22"/>
                <w:szCs w:val="22"/>
              </w:rPr>
              <w:t>PPP项目合同29.2</w:t>
            </w:r>
          </w:p>
        </w:tc>
        <w:tc>
          <w:tcPr>
            <w:tcW w:w="1806" w:type="pct"/>
            <w:vAlign w:val="center"/>
          </w:tcPr>
          <w:p>
            <w:pPr>
              <w:pStyle w:val="17"/>
              <w:ind w:firstLine="0" w:firstLineChars="0"/>
              <w:jc w:val="center"/>
              <w:rPr>
                <w:sz w:val="22"/>
                <w:szCs w:val="22"/>
              </w:rPr>
            </w:pPr>
            <w:r>
              <w:rPr>
                <w:rFonts w:hint="eastAsia" w:ascii="宋体" w:hAnsi="宋体"/>
                <w:sz w:val="22"/>
                <w:szCs w:val="22"/>
              </w:rPr>
              <w:t>PPP项目公司未能履行PPP合同中规定义务的，在发出的要求改正通知后的限定时间内仍没有纠正的</w:t>
            </w:r>
          </w:p>
        </w:tc>
        <w:tc>
          <w:tcPr>
            <w:tcW w:w="1562" w:type="pct"/>
            <w:vAlign w:val="center"/>
          </w:tcPr>
          <w:p>
            <w:pPr>
              <w:pStyle w:val="17"/>
              <w:ind w:firstLine="0" w:firstLineChars="0"/>
              <w:jc w:val="center"/>
              <w:rPr>
                <w:sz w:val="22"/>
                <w:szCs w:val="22"/>
              </w:rPr>
            </w:pPr>
            <w:r>
              <w:rPr>
                <w:rFonts w:hint="eastAsia" w:ascii="宋体" w:hAnsi="宋体"/>
                <w:sz w:val="22"/>
                <w:szCs w:val="22"/>
              </w:rPr>
              <w:t>可按合同规定提取履约保函的金额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pPr>
              <w:pStyle w:val="17"/>
              <w:ind w:firstLine="0" w:firstLineChars="0"/>
              <w:jc w:val="center"/>
              <w:rPr>
                <w:sz w:val="22"/>
                <w:szCs w:val="22"/>
              </w:rPr>
            </w:pPr>
            <w:r>
              <w:rPr>
                <w:rFonts w:hint="eastAsia"/>
                <w:sz w:val="22"/>
                <w:szCs w:val="22"/>
              </w:rPr>
              <w:t>5</w:t>
            </w:r>
          </w:p>
        </w:tc>
        <w:tc>
          <w:tcPr>
            <w:tcW w:w="1120" w:type="pct"/>
            <w:vAlign w:val="center"/>
          </w:tcPr>
          <w:p>
            <w:pPr>
              <w:pStyle w:val="17"/>
              <w:ind w:firstLine="0" w:firstLineChars="0"/>
              <w:jc w:val="center"/>
              <w:rPr>
                <w:sz w:val="22"/>
                <w:szCs w:val="22"/>
              </w:rPr>
            </w:pPr>
            <w:r>
              <w:rPr>
                <w:rFonts w:hint="eastAsia"/>
                <w:sz w:val="22"/>
                <w:szCs w:val="22"/>
              </w:rPr>
              <w:t>PPP项目合同33.4、33.6</w:t>
            </w:r>
          </w:p>
        </w:tc>
        <w:tc>
          <w:tcPr>
            <w:tcW w:w="1806" w:type="pct"/>
            <w:vAlign w:val="center"/>
          </w:tcPr>
          <w:p>
            <w:pPr>
              <w:pStyle w:val="17"/>
              <w:ind w:firstLine="0" w:firstLineChars="0"/>
              <w:jc w:val="center"/>
              <w:rPr>
                <w:sz w:val="22"/>
                <w:szCs w:val="22"/>
              </w:rPr>
            </w:pPr>
            <w:r>
              <w:rPr>
                <w:rFonts w:hint="eastAsia" w:ascii="宋体" w:hAnsi="宋体"/>
                <w:sz w:val="22"/>
                <w:szCs w:val="22"/>
              </w:rPr>
              <w:t>发生不可抗力事件</w:t>
            </w:r>
          </w:p>
        </w:tc>
        <w:tc>
          <w:tcPr>
            <w:tcW w:w="1562" w:type="pct"/>
            <w:vAlign w:val="center"/>
          </w:tcPr>
          <w:p>
            <w:pPr>
              <w:pStyle w:val="17"/>
              <w:ind w:firstLine="0" w:firstLineChars="0"/>
              <w:jc w:val="center"/>
              <w:rPr>
                <w:sz w:val="22"/>
                <w:szCs w:val="22"/>
              </w:rPr>
            </w:pPr>
            <w:r>
              <w:rPr>
                <w:rFonts w:hint="eastAsia" w:ascii="宋体" w:hAnsi="宋体"/>
                <w:sz w:val="22"/>
                <w:szCs w:val="22"/>
              </w:rPr>
              <w:t>与PPP项目公司共同委托具有相应资质的评估机构对不可抗力事件造成的后果进行评估，由双方协商一致决定是否允许延期履行、部分履行或者不履行其义务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 w:type="pct"/>
            <w:vAlign w:val="center"/>
          </w:tcPr>
          <w:p>
            <w:pPr>
              <w:pStyle w:val="17"/>
              <w:ind w:firstLine="0" w:firstLineChars="0"/>
              <w:jc w:val="center"/>
              <w:rPr>
                <w:sz w:val="22"/>
                <w:szCs w:val="22"/>
              </w:rPr>
            </w:pPr>
            <w:r>
              <w:rPr>
                <w:rFonts w:hint="eastAsia"/>
                <w:sz w:val="22"/>
                <w:szCs w:val="22"/>
              </w:rPr>
              <w:t>6</w:t>
            </w:r>
          </w:p>
        </w:tc>
        <w:tc>
          <w:tcPr>
            <w:tcW w:w="1120" w:type="pct"/>
            <w:vAlign w:val="center"/>
          </w:tcPr>
          <w:p>
            <w:pPr>
              <w:pStyle w:val="17"/>
              <w:ind w:firstLine="0" w:firstLineChars="0"/>
              <w:jc w:val="center"/>
              <w:rPr>
                <w:sz w:val="22"/>
                <w:szCs w:val="22"/>
              </w:rPr>
            </w:pPr>
            <w:r>
              <w:rPr>
                <w:rFonts w:hint="eastAsia"/>
                <w:sz w:val="22"/>
                <w:szCs w:val="22"/>
              </w:rPr>
              <w:t>PPP项目合同36.1</w:t>
            </w:r>
          </w:p>
        </w:tc>
        <w:tc>
          <w:tcPr>
            <w:tcW w:w="1806" w:type="pct"/>
            <w:vAlign w:val="center"/>
          </w:tcPr>
          <w:p>
            <w:pPr>
              <w:pStyle w:val="17"/>
              <w:ind w:firstLine="0" w:firstLineChars="0"/>
              <w:jc w:val="center"/>
              <w:rPr>
                <w:sz w:val="22"/>
                <w:szCs w:val="22"/>
              </w:rPr>
            </w:pPr>
            <w:r>
              <w:rPr>
                <w:rFonts w:hint="eastAsia" w:ascii="宋体" w:hAnsi="宋体"/>
                <w:sz w:val="22"/>
                <w:szCs w:val="22"/>
              </w:rPr>
              <w:t>PPP项目公司未履行本合同约定的一般义务，构成违约事件</w:t>
            </w:r>
          </w:p>
        </w:tc>
        <w:tc>
          <w:tcPr>
            <w:tcW w:w="1562" w:type="pct"/>
            <w:vAlign w:val="center"/>
          </w:tcPr>
          <w:p>
            <w:pPr>
              <w:pStyle w:val="17"/>
              <w:ind w:firstLine="0" w:firstLineChars="0"/>
              <w:jc w:val="center"/>
              <w:rPr>
                <w:sz w:val="22"/>
                <w:szCs w:val="22"/>
              </w:rPr>
            </w:pPr>
            <w:r>
              <w:rPr>
                <w:rFonts w:hint="eastAsia" w:ascii="宋体" w:hAnsi="宋体"/>
                <w:sz w:val="22"/>
                <w:szCs w:val="22"/>
              </w:rPr>
              <w:t>有权立即发出终止意向通知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pPr>
              <w:pStyle w:val="17"/>
              <w:ind w:firstLine="0" w:firstLineChars="0"/>
              <w:jc w:val="center"/>
              <w:rPr>
                <w:sz w:val="22"/>
                <w:szCs w:val="22"/>
              </w:rPr>
            </w:pPr>
            <w:r>
              <w:rPr>
                <w:rFonts w:hint="eastAsia"/>
                <w:sz w:val="22"/>
                <w:szCs w:val="22"/>
              </w:rPr>
              <w:t>7</w:t>
            </w:r>
          </w:p>
        </w:tc>
        <w:tc>
          <w:tcPr>
            <w:tcW w:w="1120" w:type="pct"/>
            <w:vAlign w:val="center"/>
          </w:tcPr>
          <w:p>
            <w:pPr>
              <w:pStyle w:val="17"/>
              <w:ind w:firstLine="0" w:firstLineChars="0"/>
              <w:jc w:val="center"/>
              <w:rPr>
                <w:sz w:val="22"/>
                <w:szCs w:val="22"/>
              </w:rPr>
            </w:pPr>
            <w:r>
              <w:rPr>
                <w:rFonts w:hint="eastAsia"/>
                <w:sz w:val="22"/>
                <w:szCs w:val="22"/>
              </w:rPr>
              <w:t>PPP项目合同40.2</w:t>
            </w:r>
          </w:p>
        </w:tc>
        <w:tc>
          <w:tcPr>
            <w:tcW w:w="1806" w:type="pct"/>
            <w:vAlign w:val="center"/>
          </w:tcPr>
          <w:p>
            <w:pPr>
              <w:pStyle w:val="17"/>
              <w:ind w:firstLine="0" w:firstLineChars="0"/>
              <w:jc w:val="center"/>
              <w:rPr>
                <w:rFonts w:ascii="宋体" w:hAnsi="宋体"/>
                <w:sz w:val="22"/>
                <w:szCs w:val="22"/>
              </w:rPr>
            </w:pPr>
            <w:r>
              <w:rPr>
                <w:rFonts w:hint="eastAsia" w:ascii="宋体" w:hAnsi="宋体"/>
                <w:sz w:val="22"/>
                <w:szCs w:val="22"/>
              </w:rPr>
              <w:t>转让、出租、质押或提供其它担保</w:t>
            </w:r>
          </w:p>
        </w:tc>
        <w:tc>
          <w:tcPr>
            <w:tcW w:w="1562" w:type="pct"/>
            <w:vAlign w:val="center"/>
          </w:tcPr>
          <w:p>
            <w:pPr>
              <w:pStyle w:val="17"/>
              <w:ind w:firstLine="0" w:firstLineChars="0"/>
              <w:jc w:val="center"/>
              <w:rPr>
                <w:rFonts w:ascii="宋体" w:hAnsi="宋体"/>
                <w:sz w:val="22"/>
                <w:szCs w:val="22"/>
              </w:rPr>
            </w:pPr>
            <w:r>
              <w:rPr>
                <w:rFonts w:hint="eastAsia" w:ascii="宋体" w:hAnsi="宋体"/>
                <w:sz w:val="22"/>
                <w:szCs w:val="22"/>
              </w:rPr>
              <w:t>经研究讨论、征求相关部门意见后，作出书面批准文件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pStyle w:val="17"/>
              <w:ind w:firstLine="0" w:firstLineChars="0"/>
              <w:jc w:val="left"/>
              <w:rPr>
                <w:rFonts w:ascii="宋体" w:hAnsi="宋体"/>
                <w:sz w:val="22"/>
                <w:szCs w:val="22"/>
              </w:rPr>
            </w:pPr>
            <w:r>
              <w:rPr>
                <w:rFonts w:hint="eastAsia" w:ascii="宋体" w:hAnsi="宋体"/>
                <w:sz w:val="22"/>
                <w:szCs w:val="22"/>
              </w:rPr>
              <w:t>二、运营期监管要点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tcPr>
          <w:p>
            <w:pPr>
              <w:pStyle w:val="17"/>
              <w:ind w:firstLine="0" w:firstLineChars="0"/>
              <w:jc w:val="center"/>
              <w:rPr>
                <w:b/>
                <w:bCs/>
                <w:sz w:val="22"/>
                <w:szCs w:val="22"/>
              </w:rPr>
            </w:pPr>
            <w:r>
              <w:rPr>
                <w:rFonts w:hint="eastAsia"/>
                <w:b/>
                <w:bCs/>
                <w:sz w:val="22"/>
                <w:szCs w:val="22"/>
              </w:rPr>
              <w:t>序号</w:t>
            </w:r>
          </w:p>
        </w:tc>
        <w:tc>
          <w:tcPr>
            <w:tcW w:w="1120" w:type="pct"/>
          </w:tcPr>
          <w:p>
            <w:pPr>
              <w:pStyle w:val="17"/>
              <w:ind w:firstLine="0" w:firstLineChars="0"/>
              <w:jc w:val="center"/>
              <w:rPr>
                <w:b/>
                <w:bCs/>
                <w:sz w:val="22"/>
                <w:szCs w:val="22"/>
              </w:rPr>
            </w:pPr>
            <w:r>
              <w:rPr>
                <w:rFonts w:hint="eastAsia"/>
                <w:b/>
                <w:bCs/>
                <w:sz w:val="22"/>
                <w:szCs w:val="22"/>
              </w:rPr>
              <w:t>条款号</w:t>
            </w:r>
          </w:p>
        </w:tc>
        <w:tc>
          <w:tcPr>
            <w:tcW w:w="1806" w:type="pct"/>
          </w:tcPr>
          <w:p>
            <w:pPr>
              <w:pStyle w:val="17"/>
              <w:ind w:firstLine="0" w:firstLineChars="0"/>
              <w:jc w:val="center"/>
              <w:rPr>
                <w:b/>
                <w:bCs/>
                <w:sz w:val="22"/>
                <w:szCs w:val="22"/>
              </w:rPr>
            </w:pPr>
            <w:r>
              <w:rPr>
                <w:rFonts w:hint="eastAsia"/>
                <w:b/>
                <w:bCs/>
                <w:sz w:val="22"/>
                <w:szCs w:val="22"/>
              </w:rPr>
              <w:t>触发条件</w:t>
            </w:r>
          </w:p>
        </w:tc>
        <w:tc>
          <w:tcPr>
            <w:tcW w:w="1562" w:type="pct"/>
          </w:tcPr>
          <w:p>
            <w:pPr>
              <w:pStyle w:val="17"/>
              <w:ind w:firstLine="0" w:firstLineChars="0"/>
              <w:jc w:val="center"/>
              <w:rPr>
                <w:b/>
                <w:bCs/>
                <w:sz w:val="22"/>
                <w:szCs w:val="22"/>
              </w:rPr>
            </w:pPr>
            <w:r>
              <w:rPr>
                <w:rFonts w:hint="eastAsia"/>
                <w:b/>
                <w:bCs/>
                <w:sz w:val="22"/>
                <w:szCs w:val="22"/>
              </w:rPr>
              <w:t>采取监管工作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 w:type="pct"/>
          </w:tcPr>
          <w:p>
            <w:pPr>
              <w:pStyle w:val="17"/>
              <w:ind w:firstLine="0" w:firstLineChars="0"/>
              <w:jc w:val="center"/>
              <w:rPr>
                <w:sz w:val="22"/>
                <w:szCs w:val="22"/>
              </w:rPr>
            </w:pPr>
            <w:r>
              <w:rPr>
                <w:rFonts w:hint="eastAsia"/>
                <w:sz w:val="22"/>
                <w:szCs w:val="22"/>
              </w:rPr>
              <w:t>1</w:t>
            </w:r>
          </w:p>
        </w:tc>
        <w:tc>
          <w:tcPr>
            <w:tcW w:w="1120" w:type="pct"/>
          </w:tcPr>
          <w:p>
            <w:pPr>
              <w:pStyle w:val="17"/>
              <w:ind w:firstLine="0" w:firstLineChars="0"/>
              <w:jc w:val="center"/>
              <w:rPr>
                <w:sz w:val="22"/>
                <w:szCs w:val="22"/>
              </w:rPr>
            </w:pPr>
            <w:r>
              <w:rPr>
                <w:rFonts w:hint="eastAsia"/>
                <w:sz w:val="22"/>
                <w:szCs w:val="22"/>
              </w:rPr>
              <w:t>PPP项目合同24.10</w:t>
            </w:r>
          </w:p>
        </w:tc>
        <w:tc>
          <w:tcPr>
            <w:tcW w:w="1806" w:type="pct"/>
          </w:tcPr>
          <w:p>
            <w:pPr>
              <w:pStyle w:val="17"/>
              <w:ind w:firstLine="0" w:firstLineChars="0"/>
              <w:jc w:val="center"/>
              <w:rPr>
                <w:sz w:val="22"/>
                <w:szCs w:val="22"/>
              </w:rPr>
            </w:pPr>
            <w:r>
              <w:rPr>
                <w:rFonts w:hint="eastAsia" w:ascii="宋体" w:hAnsi="宋体"/>
                <w:sz w:val="22"/>
                <w:szCs w:val="22"/>
              </w:rPr>
              <w:t>PPP项目公司选择第三方运营维护承包商负责项目的运营维护</w:t>
            </w:r>
          </w:p>
        </w:tc>
        <w:tc>
          <w:tcPr>
            <w:tcW w:w="1562" w:type="pct"/>
          </w:tcPr>
          <w:p>
            <w:pPr>
              <w:pStyle w:val="17"/>
              <w:ind w:firstLine="0" w:firstLineChars="0"/>
              <w:jc w:val="center"/>
              <w:rPr>
                <w:sz w:val="22"/>
                <w:szCs w:val="22"/>
              </w:rPr>
            </w:pPr>
            <w:r>
              <w:rPr>
                <w:rFonts w:hint="eastAsia" w:ascii="宋体" w:hAnsi="宋体"/>
                <w:sz w:val="22"/>
                <w:szCs w:val="22"/>
              </w:rPr>
              <w:t>从遴选方式、资格条件、业绩要求等方面研究并进行认可，作出书面同意文件，并对遴选结果进行备案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tcPr>
          <w:p>
            <w:pPr>
              <w:pStyle w:val="17"/>
              <w:ind w:firstLine="0" w:firstLineChars="0"/>
              <w:jc w:val="center"/>
              <w:rPr>
                <w:sz w:val="22"/>
                <w:szCs w:val="22"/>
              </w:rPr>
            </w:pPr>
            <w:r>
              <w:rPr>
                <w:rFonts w:hint="eastAsia"/>
                <w:sz w:val="22"/>
                <w:szCs w:val="22"/>
              </w:rPr>
              <w:t>2</w:t>
            </w:r>
          </w:p>
        </w:tc>
        <w:tc>
          <w:tcPr>
            <w:tcW w:w="1120" w:type="pct"/>
          </w:tcPr>
          <w:p>
            <w:pPr>
              <w:pStyle w:val="17"/>
              <w:ind w:firstLine="0" w:firstLineChars="0"/>
              <w:jc w:val="center"/>
              <w:rPr>
                <w:sz w:val="22"/>
                <w:szCs w:val="22"/>
              </w:rPr>
            </w:pPr>
            <w:r>
              <w:rPr>
                <w:rFonts w:hint="eastAsia"/>
                <w:sz w:val="22"/>
                <w:szCs w:val="22"/>
              </w:rPr>
              <w:t>PPP项目合同24.3</w:t>
            </w:r>
          </w:p>
        </w:tc>
        <w:tc>
          <w:tcPr>
            <w:tcW w:w="1806" w:type="pct"/>
          </w:tcPr>
          <w:p>
            <w:pPr>
              <w:pStyle w:val="17"/>
              <w:ind w:firstLine="0" w:firstLineChars="0"/>
              <w:jc w:val="center"/>
              <w:rPr>
                <w:sz w:val="22"/>
                <w:szCs w:val="22"/>
              </w:rPr>
            </w:pPr>
            <w:r>
              <w:rPr>
                <w:rFonts w:hint="eastAsia" w:ascii="宋体" w:hAnsi="宋体"/>
                <w:sz w:val="22"/>
                <w:szCs w:val="22"/>
              </w:rPr>
              <w:t>为保证交通功能优先，提升换乘效率采取的运营监管</w:t>
            </w:r>
          </w:p>
        </w:tc>
        <w:tc>
          <w:tcPr>
            <w:tcW w:w="1562" w:type="pct"/>
          </w:tcPr>
          <w:p>
            <w:pPr>
              <w:pStyle w:val="17"/>
              <w:ind w:firstLine="0" w:firstLineChars="0"/>
              <w:jc w:val="center"/>
              <w:rPr>
                <w:sz w:val="22"/>
                <w:szCs w:val="22"/>
              </w:rPr>
            </w:pPr>
            <w:r>
              <w:rPr>
                <w:rFonts w:hint="eastAsia" w:ascii="宋体" w:hAnsi="宋体"/>
                <w:sz w:val="22"/>
                <w:szCs w:val="22"/>
              </w:rPr>
              <w:t>委托第三方（如政府出资代表广州铁路投资建设集团有限公司）负责整体综合枢纽体的运营监管和管理协调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tcPr>
          <w:p>
            <w:pPr>
              <w:pStyle w:val="17"/>
              <w:ind w:firstLine="0" w:firstLineChars="0"/>
              <w:jc w:val="center"/>
              <w:rPr>
                <w:sz w:val="22"/>
                <w:szCs w:val="22"/>
              </w:rPr>
            </w:pPr>
            <w:r>
              <w:rPr>
                <w:rFonts w:hint="eastAsia"/>
                <w:sz w:val="22"/>
                <w:szCs w:val="22"/>
              </w:rPr>
              <w:t>3</w:t>
            </w:r>
          </w:p>
        </w:tc>
        <w:tc>
          <w:tcPr>
            <w:tcW w:w="1120" w:type="pct"/>
          </w:tcPr>
          <w:p>
            <w:pPr>
              <w:pStyle w:val="17"/>
              <w:ind w:firstLine="0" w:firstLineChars="0"/>
              <w:jc w:val="center"/>
              <w:rPr>
                <w:sz w:val="22"/>
                <w:szCs w:val="22"/>
              </w:rPr>
            </w:pPr>
            <w:r>
              <w:rPr>
                <w:rFonts w:hint="eastAsia"/>
                <w:sz w:val="22"/>
                <w:szCs w:val="22"/>
              </w:rPr>
              <w:t>PPP项目合同24.8</w:t>
            </w:r>
          </w:p>
        </w:tc>
        <w:tc>
          <w:tcPr>
            <w:tcW w:w="1806" w:type="pct"/>
          </w:tcPr>
          <w:p>
            <w:pPr>
              <w:pStyle w:val="17"/>
              <w:ind w:firstLine="0" w:firstLineChars="0"/>
              <w:jc w:val="center"/>
              <w:rPr>
                <w:sz w:val="22"/>
                <w:szCs w:val="22"/>
              </w:rPr>
            </w:pPr>
            <w:r>
              <w:rPr>
                <w:rFonts w:hint="eastAsia" w:ascii="宋体" w:hAnsi="宋体"/>
                <w:sz w:val="22"/>
                <w:szCs w:val="22"/>
              </w:rPr>
              <w:t>PPP项目公司未能按照本合同的规定运营或维护项目</w:t>
            </w:r>
          </w:p>
        </w:tc>
        <w:tc>
          <w:tcPr>
            <w:tcW w:w="1562" w:type="pct"/>
          </w:tcPr>
          <w:p>
            <w:pPr>
              <w:pStyle w:val="17"/>
              <w:ind w:firstLine="0" w:firstLineChars="0"/>
              <w:jc w:val="center"/>
              <w:rPr>
                <w:sz w:val="22"/>
                <w:szCs w:val="22"/>
              </w:rPr>
            </w:pPr>
            <w:r>
              <w:rPr>
                <w:rFonts w:hint="eastAsia" w:ascii="宋体" w:hAnsi="宋体"/>
                <w:sz w:val="22"/>
                <w:szCs w:val="22"/>
              </w:rPr>
              <w:t>发出书面通知要求PPP项目公司在三十个工作日或双方另行商定的合理期限内采取补救措施的，未能补救的，则有权自行或者委托第三方介入项目运营和维护工作。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tcPr>
          <w:p>
            <w:pPr>
              <w:pStyle w:val="17"/>
              <w:ind w:firstLine="0" w:firstLineChars="0"/>
              <w:jc w:val="center"/>
              <w:rPr>
                <w:sz w:val="22"/>
                <w:szCs w:val="22"/>
              </w:rPr>
            </w:pPr>
            <w:r>
              <w:rPr>
                <w:rFonts w:hint="eastAsia"/>
                <w:sz w:val="22"/>
                <w:szCs w:val="22"/>
              </w:rPr>
              <w:t>4</w:t>
            </w:r>
          </w:p>
        </w:tc>
        <w:tc>
          <w:tcPr>
            <w:tcW w:w="1120" w:type="pct"/>
          </w:tcPr>
          <w:p>
            <w:pPr>
              <w:pStyle w:val="17"/>
              <w:ind w:firstLine="0" w:firstLineChars="0"/>
              <w:jc w:val="center"/>
              <w:rPr>
                <w:sz w:val="22"/>
                <w:szCs w:val="22"/>
              </w:rPr>
            </w:pPr>
            <w:r>
              <w:rPr>
                <w:rFonts w:hint="eastAsia"/>
                <w:sz w:val="22"/>
                <w:szCs w:val="22"/>
              </w:rPr>
              <w:t>PPP项目合同28.1（7）</w:t>
            </w:r>
          </w:p>
        </w:tc>
        <w:tc>
          <w:tcPr>
            <w:tcW w:w="1806" w:type="pct"/>
          </w:tcPr>
          <w:p>
            <w:pPr>
              <w:pStyle w:val="17"/>
              <w:ind w:firstLine="0" w:firstLineChars="0"/>
              <w:jc w:val="center"/>
              <w:rPr>
                <w:sz w:val="22"/>
                <w:szCs w:val="22"/>
              </w:rPr>
            </w:pPr>
            <w:r>
              <w:rPr>
                <w:rFonts w:hint="eastAsia"/>
                <w:sz w:val="22"/>
                <w:szCs w:val="22"/>
              </w:rPr>
              <w:t>自全部建设项目竣工验收完成满五年之后PPP项目公司</w:t>
            </w:r>
            <w:r>
              <w:rPr>
                <w:rFonts w:hint="eastAsia" w:ascii="宋体" w:hAnsi="宋体"/>
                <w:sz w:val="22"/>
                <w:szCs w:val="22"/>
              </w:rPr>
              <w:t>各股东转让其在PPP项目公司中的全部或部分股权</w:t>
            </w:r>
          </w:p>
        </w:tc>
        <w:tc>
          <w:tcPr>
            <w:tcW w:w="1562" w:type="pct"/>
          </w:tcPr>
          <w:p>
            <w:pPr>
              <w:pStyle w:val="17"/>
              <w:ind w:firstLine="0" w:firstLineChars="0"/>
              <w:jc w:val="center"/>
              <w:rPr>
                <w:sz w:val="22"/>
                <w:szCs w:val="22"/>
              </w:rPr>
            </w:pPr>
            <w:r>
              <w:rPr>
                <w:rFonts w:hint="eastAsia" w:ascii="宋体" w:hAnsi="宋体"/>
                <w:sz w:val="22"/>
                <w:szCs w:val="22"/>
              </w:rPr>
              <w:t>要求受让方应满足PPP合同约定的技术能力、财务信用、运营经验等基本条件，并以书面形式明示上报后，作出书面同意文件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 w:type="pct"/>
          </w:tcPr>
          <w:p>
            <w:pPr>
              <w:pStyle w:val="17"/>
              <w:ind w:firstLine="0" w:firstLineChars="0"/>
              <w:jc w:val="center"/>
              <w:rPr>
                <w:sz w:val="22"/>
                <w:szCs w:val="22"/>
              </w:rPr>
            </w:pPr>
            <w:r>
              <w:rPr>
                <w:rFonts w:hint="eastAsia"/>
                <w:sz w:val="22"/>
                <w:szCs w:val="22"/>
              </w:rPr>
              <w:t>5</w:t>
            </w:r>
          </w:p>
        </w:tc>
        <w:tc>
          <w:tcPr>
            <w:tcW w:w="1120" w:type="pct"/>
          </w:tcPr>
          <w:p>
            <w:pPr>
              <w:pStyle w:val="17"/>
              <w:ind w:firstLine="0" w:firstLineChars="0"/>
              <w:jc w:val="center"/>
              <w:rPr>
                <w:sz w:val="22"/>
                <w:szCs w:val="22"/>
              </w:rPr>
            </w:pPr>
            <w:r>
              <w:rPr>
                <w:rFonts w:hint="eastAsia"/>
                <w:sz w:val="22"/>
                <w:szCs w:val="22"/>
              </w:rPr>
              <w:t>PPP项目合同27.10</w:t>
            </w:r>
          </w:p>
        </w:tc>
        <w:tc>
          <w:tcPr>
            <w:tcW w:w="1806" w:type="pct"/>
          </w:tcPr>
          <w:p>
            <w:pPr>
              <w:pStyle w:val="17"/>
              <w:ind w:firstLine="0" w:firstLineChars="0"/>
              <w:jc w:val="center"/>
              <w:rPr>
                <w:sz w:val="22"/>
                <w:szCs w:val="22"/>
              </w:rPr>
            </w:pPr>
            <w:r>
              <w:rPr>
                <w:rFonts w:hint="eastAsia" w:ascii="宋体" w:hAnsi="宋体"/>
                <w:sz w:val="22"/>
                <w:szCs w:val="22"/>
              </w:rPr>
              <w:t>如在移交日前，乙方需签订运营维护协议、设备协议及其它协议，且该等协议在本项目合作期届满后仍为有效</w:t>
            </w:r>
          </w:p>
        </w:tc>
        <w:tc>
          <w:tcPr>
            <w:tcW w:w="1562" w:type="pct"/>
          </w:tcPr>
          <w:p>
            <w:pPr>
              <w:pStyle w:val="17"/>
              <w:ind w:firstLine="0" w:firstLineChars="0"/>
              <w:jc w:val="center"/>
              <w:rPr>
                <w:sz w:val="22"/>
                <w:szCs w:val="22"/>
              </w:rPr>
            </w:pPr>
            <w:r>
              <w:rPr>
                <w:rFonts w:hint="eastAsia"/>
                <w:sz w:val="22"/>
                <w:szCs w:val="22"/>
              </w:rPr>
              <w:t>同意后方可签订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tcPr>
          <w:p>
            <w:pPr>
              <w:pStyle w:val="17"/>
              <w:ind w:firstLine="0" w:firstLineChars="0"/>
              <w:jc w:val="center"/>
              <w:rPr>
                <w:sz w:val="22"/>
                <w:szCs w:val="22"/>
              </w:rPr>
            </w:pPr>
            <w:r>
              <w:rPr>
                <w:rFonts w:hint="eastAsia"/>
                <w:sz w:val="22"/>
                <w:szCs w:val="22"/>
              </w:rPr>
              <w:t>6</w:t>
            </w:r>
          </w:p>
        </w:tc>
        <w:tc>
          <w:tcPr>
            <w:tcW w:w="1120" w:type="pct"/>
          </w:tcPr>
          <w:p>
            <w:pPr>
              <w:pStyle w:val="17"/>
              <w:ind w:firstLine="0" w:firstLineChars="0"/>
              <w:jc w:val="center"/>
              <w:rPr>
                <w:sz w:val="22"/>
                <w:szCs w:val="22"/>
              </w:rPr>
            </w:pPr>
            <w:r>
              <w:rPr>
                <w:rFonts w:hint="eastAsia"/>
                <w:sz w:val="22"/>
                <w:szCs w:val="22"/>
              </w:rPr>
              <w:t>PPP项目合同30.2</w:t>
            </w:r>
          </w:p>
        </w:tc>
        <w:tc>
          <w:tcPr>
            <w:tcW w:w="1806" w:type="pct"/>
          </w:tcPr>
          <w:p>
            <w:pPr>
              <w:pStyle w:val="17"/>
              <w:ind w:firstLine="0" w:firstLineChars="0"/>
              <w:jc w:val="center"/>
              <w:rPr>
                <w:sz w:val="22"/>
                <w:szCs w:val="22"/>
              </w:rPr>
            </w:pPr>
            <w:r>
              <w:rPr>
                <w:rFonts w:hint="eastAsia"/>
                <w:sz w:val="22"/>
                <w:szCs w:val="22"/>
              </w:rPr>
              <w:t>如果PPP项目公司未能履行P</w:t>
            </w:r>
            <w:r>
              <w:rPr>
                <w:sz w:val="22"/>
                <w:szCs w:val="22"/>
              </w:rPr>
              <w:t>PP</w:t>
            </w:r>
            <w:r>
              <w:rPr>
                <w:rFonts w:hint="eastAsia"/>
                <w:sz w:val="22"/>
                <w:szCs w:val="22"/>
              </w:rPr>
              <w:t>合同中规定运营期的义务，并且在收到要求改正的通知后的限定时间内仍没有纠正的</w:t>
            </w:r>
          </w:p>
        </w:tc>
        <w:tc>
          <w:tcPr>
            <w:tcW w:w="1562" w:type="pct"/>
          </w:tcPr>
          <w:p>
            <w:pPr>
              <w:pStyle w:val="17"/>
              <w:ind w:firstLine="0" w:firstLineChars="0"/>
              <w:jc w:val="center"/>
              <w:rPr>
                <w:sz w:val="22"/>
                <w:szCs w:val="22"/>
              </w:rPr>
            </w:pPr>
            <w:r>
              <w:rPr>
                <w:rFonts w:hint="eastAsia"/>
                <w:sz w:val="22"/>
                <w:szCs w:val="22"/>
              </w:rPr>
              <w:t>有权根据本合同的规定提取履约保函的金额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tcPr>
          <w:p>
            <w:pPr>
              <w:pStyle w:val="17"/>
              <w:ind w:firstLine="0" w:firstLineChars="0"/>
              <w:jc w:val="center"/>
              <w:rPr>
                <w:sz w:val="22"/>
                <w:szCs w:val="22"/>
              </w:rPr>
            </w:pPr>
            <w:r>
              <w:rPr>
                <w:rFonts w:hint="eastAsia"/>
                <w:sz w:val="22"/>
                <w:szCs w:val="22"/>
              </w:rPr>
              <w:t>8</w:t>
            </w:r>
          </w:p>
        </w:tc>
        <w:tc>
          <w:tcPr>
            <w:tcW w:w="1120" w:type="pct"/>
          </w:tcPr>
          <w:p>
            <w:pPr>
              <w:pStyle w:val="17"/>
              <w:ind w:firstLine="0" w:firstLineChars="0"/>
              <w:jc w:val="center"/>
              <w:rPr>
                <w:sz w:val="22"/>
                <w:szCs w:val="22"/>
              </w:rPr>
            </w:pPr>
            <w:r>
              <w:rPr>
                <w:rFonts w:hint="eastAsia"/>
                <w:sz w:val="22"/>
                <w:szCs w:val="22"/>
              </w:rPr>
              <w:t>PPP项目合同35.2（8）</w:t>
            </w:r>
          </w:p>
        </w:tc>
        <w:tc>
          <w:tcPr>
            <w:tcW w:w="1806" w:type="pct"/>
          </w:tcPr>
          <w:p>
            <w:pPr>
              <w:pStyle w:val="17"/>
              <w:ind w:firstLine="0" w:firstLineChars="0"/>
              <w:jc w:val="center"/>
              <w:rPr>
                <w:sz w:val="22"/>
                <w:szCs w:val="22"/>
              </w:rPr>
            </w:pPr>
            <w:r>
              <w:rPr>
                <w:rFonts w:hint="eastAsia" w:ascii="宋体" w:hAnsi="宋体"/>
                <w:sz w:val="22"/>
                <w:szCs w:val="22"/>
              </w:rPr>
              <w:t>PPP项目公司无法按照PPP合同的规定正常提供运营维护服务</w:t>
            </w:r>
          </w:p>
        </w:tc>
        <w:tc>
          <w:tcPr>
            <w:tcW w:w="1562" w:type="pct"/>
          </w:tcPr>
          <w:p>
            <w:pPr>
              <w:pStyle w:val="17"/>
              <w:ind w:firstLine="0" w:firstLineChars="0"/>
              <w:jc w:val="center"/>
              <w:rPr>
                <w:sz w:val="22"/>
                <w:szCs w:val="22"/>
              </w:rPr>
            </w:pPr>
            <w:r>
              <w:rPr>
                <w:rFonts w:hint="eastAsia" w:ascii="宋体" w:hAnsi="宋体"/>
                <w:sz w:val="22"/>
                <w:szCs w:val="22"/>
              </w:rPr>
              <w:t>向PPP项目公司发出整改通知,若PPP项目公司在收到通知后的三十(30)日或甲乙双方另行商定的合理期限内未能进行补救，则有权介入运营或维护，且有权发出终止通知并向PPP项目公司提出索赔。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tcPr>
          <w:p>
            <w:pPr>
              <w:pStyle w:val="17"/>
              <w:ind w:firstLine="0" w:firstLineChars="0"/>
              <w:jc w:val="center"/>
              <w:rPr>
                <w:sz w:val="22"/>
                <w:szCs w:val="22"/>
              </w:rPr>
            </w:pPr>
            <w:r>
              <w:rPr>
                <w:rFonts w:hint="eastAsia"/>
                <w:sz w:val="22"/>
                <w:szCs w:val="22"/>
              </w:rPr>
              <w:t>7</w:t>
            </w:r>
          </w:p>
        </w:tc>
        <w:tc>
          <w:tcPr>
            <w:tcW w:w="1120" w:type="pct"/>
          </w:tcPr>
          <w:p>
            <w:pPr>
              <w:pStyle w:val="17"/>
              <w:ind w:firstLine="0" w:firstLineChars="0"/>
              <w:jc w:val="center"/>
              <w:rPr>
                <w:sz w:val="22"/>
                <w:szCs w:val="22"/>
              </w:rPr>
            </w:pPr>
            <w:r>
              <w:rPr>
                <w:rFonts w:hint="eastAsia"/>
                <w:sz w:val="22"/>
                <w:szCs w:val="22"/>
              </w:rPr>
              <w:t>PPP项目合同27.6</w:t>
            </w:r>
          </w:p>
        </w:tc>
        <w:tc>
          <w:tcPr>
            <w:tcW w:w="1806" w:type="pct"/>
          </w:tcPr>
          <w:p>
            <w:pPr>
              <w:pStyle w:val="17"/>
              <w:ind w:firstLine="0" w:firstLineChars="0"/>
              <w:jc w:val="center"/>
              <w:rPr>
                <w:rFonts w:ascii="宋体" w:hAnsi="宋体"/>
                <w:sz w:val="22"/>
                <w:szCs w:val="22"/>
              </w:rPr>
            </w:pPr>
            <w:r>
              <w:rPr>
                <w:rFonts w:hint="eastAsia" w:ascii="宋体" w:hAnsi="宋体"/>
                <w:sz w:val="22"/>
                <w:szCs w:val="22"/>
              </w:rPr>
              <w:t>质量保证期内出现由运营和管理缺陷或经营期内PPP项目公司的任何违约造成的项目设施任何部分出现的任何缺陷或损坏（正常磨损除外)，及（或)环境污染责任</w:t>
            </w:r>
          </w:p>
        </w:tc>
        <w:tc>
          <w:tcPr>
            <w:tcW w:w="1562" w:type="pct"/>
          </w:tcPr>
          <w:p>
            <w:pPr>
              <w:pStyle w:val="17"/>
              <w:ind w:firstLine="0" w:firstLineChars="0"/>
              <w:jc w:val="center"/>
              <w:rPr>
                <w:rFonts w:ascii="宋体" w:hAnsi="宋体"/>
                <w:sz w:val="22"/>
                <w:szCs w:val="22"/>
              </w:rPr>
            </w:pPr>
            <w:r>
              <w:rPr>
                <w:rFonts w:hint="eastAsia" w:ascii="宋体" w:hAnsi="宋体"/>
                <w:sz w:val="22"/>
                <w:szCs w:val="22"/>
              </w:rPr>
              <w:t>在十二个月的保证期结束前通知并送达PPP项目公司。如果PPP项目公司在收到通知后三十日内不能或拒绝修正缺陷，则有权自己或请第三方修正缺陷。在这种情况下，有权在移交保函中扣除合理且必要的修理费用。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 w:type="pct"/>
          </w:tcPr>
          <w:p>
            <w:pPr>
              <w:pStyle w:val="17"/>
              <w:ind w:firstLine="0" w:firstLineChars="0"/>
              <w:jc w:val="center"/>
              <w:rPr>
                <w:sz w:val="22"/>
                <w:szCs w:val="22"/>
              </w:rPr>
            </w:pPr>
            <w:r>
              <w:rPr>
                <w:sz w:val="22"/>
                <w:szCs w:val="22"/>
              </w:rPr>
              <w:t>8</w:t>
            </w:r>
          </w:p>
        </w:tc>
        <w:tc>
          <w:tcPr>
            <w:tcW w:w="1120" w:type="pct"/>
          </w:tcPr>
          <w:p>
            <w:pPr>
              <w:pStyle w:val="17"/>
              <w:ind w:firstLine="0" w:firstLineChars="0"/>
              <w:jc w:val="center"/>
              <w:rPr>
                <w:sz w:val="22"/>
                <w:szCs w:val="22"/>
              </w:rPr>
            </w:pPr>
            <w:r>
              <w:rPr>
                <w:rFonts w:hint="eastAsia"/>
                <w:sz w:val="22"/>
                <w:szCs w:val="22"/>
              </w:rPr>
              <w:t>PPP项目合同27.11</w:t>
            </w:r>
          </w:p>
        </w:tc>
        <w:tc>
          <w:tcPr>
            <w:tcW w:w="1806" w:type="pct"/>
          </w:tcPr>
          <w:p>
            <w:pPr>
              <w:pStyle w:val="17"/>
              <w:ind w:firstLine="0" w:firstLineChars="0"/>
              <w:jc w:val="center"/>
              <w:rPr>
                <w:rFonts w:ascii="宋体" w:hAnsi="宋体"/>
                <w:sz w:val="22"/>
                <w:szCs w:val="22"/>
              </w:rPr>
            </w:pPr>
            <w:r>
              <w:rPr>
                <w:rFonts w:hint="eastAsia" w:ascii="宋体" w:hAnsi="宋体"/>
                <w:sz w:val="22"/>
                <w:szCs w:val="22"/>
              </w:rPr>
              <w:t>PPP项目公司没有在规定时间内自费从场地移走仅限于乙方员工的个人用品以及与本项目运营和维护无关的物品。不包括移交清单所列的项目设备、备品备件、技术资料或者项目设施营运和维护的必需物品。</w:t>
            </w:r>
          </w:p>
        </w:tc>
        <w:tc>
          <w:tcPr>
            <w:tcW w:w="1562" w:type="pct"/>
          </w:tcPr>
          <w:p>
            <w:pPr>
              <w:pStyle w:val="17"/>
              <w:ind w:firstLine="0" w:firstLineChars="0"/>
              <w:jc w:val="center"/>
              <w:rPr>
                <w:rFonts w:ascii="宋体" w:hAnsi="宋体"/>
                <w:sz w:val="22"/>
                <w:szCs w:val="22"/>
              </w:rPr>
            </w:pPr>
            <w:r>
              <w:rPr>
                <w:rFonts w:hint="eastAsia" w:ascii="宋体" w:hAnsi="宋体"/>
                <w:sz w:val="22"/>
                <w:szCs w:val="22"/>
              </w:rPr>
              <w:t>发出通知后，PPP项目公司可以移走并将物品转运至适当的地点以便安全保管，并承担搬移、运输和保管的合理费用和凤险。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tcPr>
          <w:p>
            <w:pPr>
              <w:pStyle w:val="17"/>
              <w:ind w:firstLine="0" w:firstLineChars="0"/>
              <w:jc w:val="center"/>
              <w:rPr>
                <w:sz w:val="22"/>
                <w:szCs w:val="22"/>
              </w:rPr>
            </w:pPr>
            <w:r>
              <w:rPr>
                <w:rFonts w:hint="eastAsia"/>
                <w:sz w:val="22"/>
                <w:szCs w:val="22"/>
              </w:rPr>
              <w:t>9</w:t>
            </w:r>
          </w:p>
        </w:tc>
        <w:tc>
          <w:tcPr>
            <w:tcW w:w="1120" w:type="pct"/>
          </w:tcPr>
          <w:p>
            <w:pPr>
              <w:pStyle w:val="17"/>
              <w:ind w:firstLine="0" w:firstLineChars="0"/>
              <w:jc w:val="center"/>
              <w:rPr>
                <w:sz w:val="22"/>
                <w:szCs w:val="22"/>
              </w:rPr>
            </w:pPr>
            <w:r>
              <w:rPr>
                <w:rFonts w:hint="eastAsia"/>
                <w:sz w:val="22"/>
                <w:szCs w:val="22"/>
              </w:rPr>
              <w:t>PPP项目合同27.2</w:t>
            </w:r>
          </w:p>
        </w:tc>
        <w:tc>
          <w:tcPr>
            <w:tcW w:w="1806" w:type="pct"/>
          </w:tcPr>
          <w:p>
            <w:pPr>
              <w:pStyle w:val="17"/>
              <w:ind w:firstLine="0" w:firstLineChars="0"/>
              <w:jc w:val="center"/>
              <w:rPr>
                <w:rFonts w:ascii="宋体" w:hAnsi="宋体"/>
                <w:sz w:val="22"/>
                <w:szCs w:val="22"/>
              </w:rPr>
            </w:pPr>
            <w:r>
              <w:rPr>
                <w:rFonts w:hint="eastAsia" w:ascii="宋体" w:hAnsi="宋体"/>
                <w:sz w:val="22"/>
                <w:szCs w:val="22"/>
              </w:rPr>
              <w:t>PPP项目公司未曾按照PPP合同规定交付的运营、维护、修理记录、移交记录和其它资料</w:t>
            </w:r>
          </w:p>
        </w:tc>
        <w:tc>
          <w:tcPr>
            <w:tcW w:w="1562" w:type="pct"/>
          </w:tcPr>
          <w:p>
            <w:pPr>
              <w:pStyle w:val="17"/>
              <w:ind w:firstLine="0" w:firstLineChars="0"/>
              <w:jc w:val="center"/>
              <w:rPr>
                <w:rFonts w:ascii="宋体" w:hAnsi="宋体"/>
                <w:sz w:val="22"/>
                <w:szCs w:val="22"/>
              </w:rPr>
            </w:pPr>
            <w:r>
              <w:rPr>
                <w:rFonts w:hint="eastAsia" w:ascii="宋体" w:hAnsi="宋体"/>
                <w:sz w:val="22"/>
                <w:szCs w:val="22"/>
              </w:rPr>
              <w:t>合理要求PPP项目公司交付。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tcPr>
          <w:p>
            <w:pPr>
              <w:pStyle w:val="17"/>
              <w:ind w:firstLine="0" w:firstLineChars="0"/>
              <w:jc w:val="center"/>
              <w:rPr>
                <w:sz w:val="22"/>
                <w:szCs w:val="22"/>
              </w:rPr>
            </w:pPr>
            <w:r>
              <w:rPr>
                <w:rFonts w:hint="eastAsia"/>
                <w:sz w:val="22"/>
                <w:szCs w:val="22"/>
              </w:rPr>
              <w:t>1</w:t>
            </w:r>
            <w:r>
              <w:rPr>
                <w:sz w:val="22"/>
                <w:szCs w:val="22"/>
              </w:rPr>
              <w:t>0</w:t>
            </w:r>
          </w:p>
        </w:tc>
        <w:tc>
          <w:tcPr>
            <w:tcW w:w="1120" w:type="pct"/>
          </w:tcPr>
          <w:p>
            <w:pPr>
              <w:pStyle w:val="17"/>
              <w:ind w:firstLine="0" w:firstLineChars="0"/>
              <w:jc w:val="center"/>
              <w:rPr>
                <w:sz w:val="22"/>
                <w:szCs w:val="22"/>
              </w:rPr>
            </w:pPr>
            <w:r>
              <w:rPr>
                <w:rFonts w:hint="eastAsia"/>
                <w:sz w:val="22"/>
                <w:szCs w:val="22"/>
              </w:rPr>
              <w:t>PPP项目合同31.2</w:t>
            </w:r>
          </w:p>
        </w:tc>
        <w:tc>
          <w:tcPr>
            <w:tcW w:w="1806" w:type="pct"/>
          </w:tcPr>
          <w:p>
            <w:pPr>
              <w:pStyle w:val="17"/>
              <w:ind w:firstLine="0" w:firstLineChars="0"/>
              <w:jc w:val="center"/>
              <w:rPr>
                <w:rFonts w:ascii="宋体" w:hAnsi="宋体"/>
                <w:sz w:val="22"/>
                <w:szCs w:val="22"/>
              </w:rPr>
            </w:pPr>
            <w:r>
              <w:rPr>
                <w:rFonts w:hint="eastAsia" w:ascii="宋体" w:hAnsi="宋体"/>
                <w:sz w:val="22"/>
                <w:szCs w:val="22"/>
              </w:rPr>
              <w:t>PPP项目公司未能履行PPP合同中规定的项目的最后移交的义务</w:t>
            </w:r>
          </w:p>
        </w:tc>
        <w:tc>
          <w:tcPr>
            <w:tcW w:w="1562" w:type="pct"/>
          </w:tcPr>
          <w:p>
            <w:pPr>
              <w:pStyle w:val="17"/>
              <w:ind w:firstLine="0" w:firstLineChars="0"/>
              <w:jc w:val="center"/>
              <w:rPr>
                <w:rFonts w:ascii="宋体" w:hAnsi="宋体"/>
                <w:sz w:val="22"/>
                <w:szCs w:val="22"/>
              </w:rPr>
            </w:pPr>
            <w:r>
              <w:rPr>
                <w:rFonts w:hint="eastAsia" w:ascii="宋体" w:hAnsi="宋体"/>
                <w:sz w:val="22"/>
                <w:szCs w:val="22"/>
              </w:rPr>
              <w:t>发出要求改正的通知，在限定时间内仍没有纠正的，有权提取履约保函的金额。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tcPr>
          <w:p>
            <w:pPr>
              <w:pStyle w:val="17"/>
              <w:ind w:firstLine="0" w:firstLineChars="0"/>
              <w:jc w:val="center"/>
              <w:rPr>
                <w:sz w:val="22"/>
                <w:szCs w:val="22"/>
              </w:rPr>
            </w:pPr>
            <w:r>
              <w:rPr>
                <w:rFonts w:hint="eastAsia"/>
                <w:sz w:val="22"/>
                <w:szCs w:val="22"/>
              </w:rPr>
              <w:t>1</w:t>
            </w:r>
            <w:r>
              <w:rPr>
                <w:sz w:val="22"/>
                <w:szCs w:val="22"/>
              </w:rPr>
              <w:t>1</w:t>
            </w:r>
          </w:p>
        </w:tc>
        <w:tc>
          <w:tcPr>
            <w:tcW w:w="1120" w:type="pct"/>
          </w:tcPr>
          <w:p>
            <w:pPr>
              <w:pStyle w:val="17"/>
              <w:ind w:firstLine="0" w:firstLineChars="0"/>
              <w:jc w:val="center"/>
              <w:rPr>
                <w:sz w:val="22"/>
                <w:szCs w:val="22"/>
              </w:rPr>
            </w:pPr>
            <w:r>
              <w:rPr>
                <w:rFonts w:hint="eastAsia"/>
                <w:sz w:val="22"/>
                <w:szCs w:val="22"/>
              </w:rPr>
              <w:t>PPP项目合同2.6</w:t>
            </w:r>
          </w:p>
        </w:tc>
        <w:tc>
          <w:tcPr>
            <w:tcW w:w="1806" w:type="pct"/>
          </w:tcPr>
          <w:p>
            <w:pPr>
              <w:pStyle w:val="17"/>
              <w:ind w:firstLine="0" w:firstLineChars="0"/>
              <w:jc w:val="center"/>
              <w:rPr>
                <w:rFonts w:ascii="宋体" w:hAnsi="宋体"/>
                <w:sz w:val="22"/>
                <w:szCs w:val="22"/>
              </w:rPr>
            </w:pPr>
            <w:r>
              <w:rPr>
                <w:rFonts w:hint="eastAsia" w:ascii="宋体" w:hAnsi="宋体"/>
                <w:sz w:val="22"/>
                <w:szCs w:val="22"/>
              </w:rPr>
              <w:t>若在合作期结束时尚有未出售物业</w:t>
            </w:r>
          </w:p>
        </w:tc>
        <w:tc>
          <w:tcPr>
            <w:tcW w:w="1562" w:type="pct"/>
          </w:tcPr>
          <w:p>
            <w:pPr>
              <w:pStyle w:val="17"/>
              <w:ind w:firstLine="0" w:firstLineChars="0"/>
              <w:jc w:val="center"/>
              <w:rPr>
                <w:rFonts w:ascii="宋体" w:hAnsi="宋体"/>
                <w:sz w:val="22"/>
                <w:szCs w:val="22"/>
              </w:rPr>
            </w:pPr>
            <w:r>
              <w:rPr>
                <w:rFonts w:hint="eastAsia" w:ascii="宋体" w:hAnsi="宋体"/>
                <w:sz w:val="22"/>
                <w:szCs w:val="22"/>
              </w:rPr>
              <w:t>征求PPP项目公司意见后，聘请第三方资产评估单位评审出未出售物业在合作期结束之日的资产价值，以此资产价值作为经营收入计。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 w:type="pct"/>
          </w:tcPr>
          <w:p>
            <w:pPr>
              <w:pStyle w:val="17"/>
              <w:ind w:firstLine="0" w:firstLineChars="0"/>
              <w:jc w:val="center"/>
              <w:rPr>
                <w:sz w:val="22"/>
                <w:szCs w:val="22"/>
              </w:rPr>
            </w:pPr>
            <w:r>
              <w:rPr>
                <w:rFonts w:hint="eastAsia"/>
                <w:sz w:val="22"/>
                <w:szCs w:val="22"/>
              </w:rPr>
              <w:t>1</w:t>
            </w:r>
            <w:r>
              <w:rPr>
                <w:sz w:val="22"/>
                <w:szCs w:val="22"/>
              </w:rPr>
              <w:t>2</w:t>
            </w:r>
          </w:p>
        </w:tc>
        <w:tc>
          <w:tcPr>
            <w:tcW w:w="1120" w:type="pct"/>
          </w:tcPr>
          <w:p>
            <w:pPr>
              <w:pStyle w:val="17"/>
              <w:ind w:firstLine="0" w:firstLineChars="0"/>
              <w:jc w:val="center"/>
              <w:rPr>
                <w:sz w:val="22"/>
                <w:szCs w:val="22"/>
              </w:rPr>
            </w:pPr>
            <w:r>
              <w:rPr>
                <w:rFonts w:hint="eastAsia"/>
                <w:sz w:val="22"/>
                <w:szCs w:val="22"/>
              </w:rPr>
              <w:t>《PPP合同》28.2</w:t>
            </w:r>
          </w:p>
        </w:tc>
        <w:tc>
          <w:tcPr>
            <w:tcW w:w="1806" w:type="pct"/>
          </w:tcPr>
          <w:p>
            <w:pPr>
              <w:pStyle w:val="17"/>
              <w:ind w:firstLine="0" w:firstLineChars="0"/>
              <w:jc w:val="center"/>
              <w:rPr>
                <w:rFonts w:ascii="宋体" w:hAnsi="宋体"/>
                <w:sz w:val="22"/>
                <w:szCs w:val="22"/>
              </w:rPr>
            </w:pPr>
            <w:r>
              <w:rPr>
                <w:rFonts w:hint="eastAsia" w:ascii="宋体" w:hAnsi="宋体"/>
                <w:sz w:val="22"/>
                <w:szCs w:val="22"/>
              </w:rPr>
              <w:t>PPP项目公司章程的确定和修改</w:t>
            </w:r>
          </w:p>
        </w:tc>
        <w:tc>
          <w:tcPr>
            <w:tcW w:w="1562" w:type="pct"/>
          </w:tcPr>
          <w:p>
            <w:pPr>
              <w:pStyle w:val="17"/>
              <w:ind w:firstLine="0" w:firstLineChars="0"/>
              <w:jc w:val="center"/>
              <w:rPr>
                <w:rFonts w:ascii="宋体" w:hAnsi="宋体"/>
                <w:sz w:val="22"/>
                <w:szCs w:val="22"/>
              </w:rPr>
            </w:pPr>
            <w:r>
              <w:rPr>
                <w:rFonts w:hint="eastAsia" w:ascii="宋体" w:hAnsi="宋体"/>
                <w:sz w:val="22"/>
                <w:szCs w:val="22"/>
              </w:rPr>
              <w:t>进行认可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tcPr>
          <w:p>
            <w:pPr>
              <w:pStyle w:val="17"/>
              <w:ind w:firstLine="0" w:firstLineChars="0"/>
              <w:jc w:val="center"/>
              <w:rPr>
                <w:sz w:val="22"/>
                <w:szCs w:val="22"/>
              </w:rPr>
            </w:pPr>
            <w:r>
              <w:rPr>
                <w:rFonts w:hint="eastAsia"/>
                <w:sz w:val="22"/>
                <w:szCs w:val="22"/>
              </w:rPr>
              <w:t>1</w:t>
            </w:r>
            <w:r>
              <w:rPr>
                <w:sz w:val="22"/>
                <w:szCs w:val="22"/>
              </w:rPr>
              <w:t>3</w:t>
            </w:r>
          </w:p>
        </w:tc>
        <w:tc>
          <w:tcPr>
            <w:tcW w:w="1120" w:type="pct"/>
          </w:tcPr>
          <w:p>
            <w:pPr>
              <w:pStyle w:val="17"/>
              <w:ind w:firstLine="0" w:firstLineChars="0"/>
              <w:jc w:val="center"/>
              <w:rPr>
                <w:sz w:val="22"/>
                <w:szCs w:val="22"/>
              </w:rPr>
            </w:pPr>
            <w:r>
              <w:rPr>
                <w:rFonts w:hint="eastAsia"/>
                <w:sz w:val="22"/>
                <w:szCs w:val="22"/>
              </w:rPr>
              <w:t>《PPP合同》41.2</w:t>
            </w:r>
          </w:p>
        </w:tc>
        <w:tc>
          <w:tcPr>
            <w:tcW w:w="1806" w:type="pct"/>
          </w:tcPr>
          <w:p>
            <w:pPr>
              <w:pStyle w:val="17"/>
              <w:ind w:firstLine="0" w:firstLineChars="0"/>
              <w:jc w:val="center"/>
              <w:rPr>
                <w:rFonts w:ascii="宋体" w:hAnsi="宋体"/>
                <w:sz w:val="22"/>
                <w:szCs w:val="22"/>
              </w:rPr>
            </w:pPr>
            <w:r>
              <w:rPr>
                <w:rFonts w:hint="eastAsia" w:ascii="宋体" w:hAnsi="宋体"/>
                <w:sz w:val="22"/>
                <w:szCs w:val="22"/>
              </w:rPr>
              <w:t>PPP合同任何修改、补充或变更</w:t>
            </w:r>
          </w:p>
        </w:tc>
        <w:tc>
          <w:tcPr>
            <w:tcW w:w="1562" w:type="pct"/>
          </w:tcPr>
          <w:p>
            <w:pPr>
              <w:pStyle w:val="17"/>
              <w:ind w:firstLine="0" w:firstLineChars="0"/>
              <w:jc w:val="center"/>
              <w:rPr>
                <w:rFonts w:ascii="宋体" w:hAnsi="宋体"/>
                <w:sz w:val="22"/>
                <w:szCs w:val="22"/>
              </w:rPr>
            </w:pPr>
            <w:r>
              <w:rPr>
                <w:rFonts w:hint="eastAsia" w:ascii="宋体" w:hAnsi="宋体"/>
                <w:sz w:val="22"/>
                <w:szCs w:val="22"/>
              </w:rPr>
              <w:t>经双方协商一致以书面形式并签字盖章后方具有法律约束力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tcPr>
          <w:p>
            <w:pPr>
              <w:pStyle w:val="17"/>
              <w:ind w:firstLine="0" w:firstLineChars="0"/>
              <w:jc w:val="center"/>
              <w:rPr>
                <w:sz w:val="22"/>
                <w:szCs w:val="22"/>
              </w:rPr>
            </w:pPr>
            <w:r>
              <w:rPr>
                <w:rFonts w:hint="eastAsia"/>
                <w:sz w:val="22"/>
                <w:szCs w:val="22"/>
              </w:rPr>
              <w:t>1</w:t>
            </w:r>
            <w:r>
              <w:rPr>
                <w:sz w:val="22"/>
                <w:szCs w:val="22"/>
              </w:rPr>
              <w:t>4</w:t>
            </w:r>
          </w:p>
        </w:tc>
        <w:tc>
          <w:tcPr>
            <w:tcW w:w="1120" w:type="pct"/>
          </w:tcPr>
          <w:p>
            <w:pPr>
              <w:pStyle w:val="17"/>
              <w:ind w:firstLine="0" w:firstLineChars="0"/>
              <w:jc w:val="center"/>
              <w:rPr>
                <w:sz w:val="22"/>
                <w:szCs w:val="22"/>
              </w:rPr>
            </w:pPr>
            <w:r>
              <w:rPr>
                <w:rFonts w:hint="eastAsia"/>
                <w:sz w:val="22"/>
                <w:szCs w:val="22"/>
              </w:rPr>
              <w:t>《PPP合同》40.2</w:t>
            </w:r>
          </w:p>
        </w:tc>
        <w:tc>
          <w:tcPr>
            <w:tcW w:w="1806" w:type="pct"/>
          </w:tcPr>
          <w:p>
            <w:pPr>
              <w:pStyle w:val="17"/>
              <w:ind w:firstLine="220"/>
              <w:jc w:val="center"/>
              <w:rPr>
                <w:rFonts w:ascii="宋体" w:hAnsi="宋体"/>
                <w:sz w:val="22"/>
                <w:szCs w:val="22"/>
              </w:rPr>
            </w:pPr>
            <w:r>
              <w:rPr>
                <w:rFonts w:hint="eastAsia" w:ascii="宋体" w:hAnsi="宋体"/>
                <w:sz w:val="22"/>
                <w:szCs w:val="22"/>
              </w:rPr>
              <w:t>除本合同约定的情况外，PPP项目公司转让、出租、质押或提供其它担保：1）其在本合同或与本项目相关的其它合同项下的权利和权益;2)乙方用于项目的项目设施和资产。</w:t>
            </w:r>
          </w:p>
        </w:tc>
        <w:tc>
          <w:tcPr>
            <w:tcW w:w="1562" w:type="pct"/>
          </w:tcPr>
          <w:p>
            <w:pPr>
              <w:pStyle w:val="17"/>
              <w:ind w:firstLine="0" w:firstLineChars="0"/>
              <w:jc w:val="center"/>
              <w:rPr>
                <w:rFonts w:ascii="宋体" w:hAnsi="宋体"/>
                <w:sz w:val="22"/>
                <w:szCs w:val="22"/>
              </w:rPr>
            </w:pPr>
            <w:r>
              <w:rPr>
                <w:rFonts w:hint="eastAsia" w:ascii="宋体" w:hAnsi="宋体"/>
                <w:sz w:val="22"/>
                <w:szCs w:val="22"/>
              </w:rPr>
              <w:t>书面同意</w:t>
            </w:r>
          </w:p>
        </w:tc>
      </w:tr>
    </w:tbl>
    <w:p>
      <w:pPr>
        <w:spacing w:line="360" w:lineRule="auto"/>
        <w:ind w:firstLine="420" w:firstLineChars="200"/>
        <w:sectPr>
          <w:pgSz w:w="16838" w:h="11906" w:orient="landscape"/>
          <w:pgMar w:top="1361" w:right="1418" w:bottom="1304" w:left="1361" w:header="737" w:footer="737" w:gutter="0"/>
          <w:pgNumType w:start="1"/>
          <w:cols w:space="720" w:num="1"/>
          <w:docGrid w:linePitch="312" w:charSpace="0"/>
        </w:sectPr>
      </w:pPr>
      <w:r>
        <w:rPr>
          <w:rFonts w:hint="eastAsia"/>
        </w:rPr>
        <w:t>*本表供投标人编制投标文件时参考。</w:t>
      </w:r>
      <w:r>
        <w:br w:type="page"/>
      </w:r>
    </w:p>
    <w:p>
      <w:pPr>
        <w:spacing w:line="360" w:lineRule="auto"/>
        <w:ind w:firstLine="420" w:firstLineChars="200"/>
      </w:pPr>
    </w:p>
    <w:bookmarkEnd w:id="24"/>
    <w:bookmarkEnd w:id="25"/>
    <w:bookmarkEnd w:id="26"/>
    <w:bookmarkEnd w:id="27"/>
    <w:bookmarkEnd w:id="28"/>
    <w:bookmarkEnd w:id="29"/>
    <w:sectPr>
      <w:headerReference r:id="rId5" w:type="default"/>
      <w:footerReference r:id="rId6" w:type="default"/>
      <w:pgSz w:w="11906" w:h="16838"/>
      <w:pgMar w:top="1418" w:right="1304" w:bottom="1361" w:left="1361" w:header="737" w:footer="73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firstLine="1530" w:firstLineChars="85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12"/>
                    </w:pPr>
                  </w:p>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广州</w:t>
    </w:r>
    <w:r>
      <w:rPr>
        <w:rFonts w:hint="eastAsia"/>
      </w:rPr>
      <w:t>群生</w:t>
    </w:r>
    <w:r>
      <w:t>招标代理有限公司编制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1"/>
      </w:pBdr>
      <w:rPr>
        <w:sz w:val="18"/>
        <w:szCs w:val="18"/>
      </w:rPr>
    </w:pPr>
    <w:r>
      <w:rPr>
        <w:rFonts w:hint="eastAsia" w:ascii="宋体" w:hAnsi="宋体"/>
        <w:color w:val="000000"/>
        <w:sz w:val="18"/>
        <w:szCs w:val="18"/>
      </w:rPr>
      <w:t>项目名称：金融城站综合交通枢纽PPP项目建设期及运营初期监管服务</w:t>
    </w:r>
    <w:r>
      <w:rPr>
        <w:rFonts w:hint="eastAsia"/>
        <w:sz w:val="18"/>
        <w:szCs w:val="18"/>
      </w:rPr>
      <w:t xml:space="preserve">                           </w:t>
    </w:r>
  </w:p>
  <w:p>
    <w:pPr>
      <w:pBdr>
        <w:bottom w:val="thinThickSmallGap" w:color="auto" w:sz="12" w:space="1"/>
      </w:pBdr>
    </w:pPr>
    <w:r>
      <w:rPr>
        <w:rFonts w:hint="eastAsia" w:ascii="宋体" w:hAnsi="宋体" w:cs="宋体"/>
        <w:color w:val="000000"/>
        <w:sz w:val="18"/>
        <w:szCs w:val="18"/>
      </w:rPr>
      <w:t>项目编号：</w:t>
    </w:r>
    <w:r>
      <w:rPr>
        <w:rFonts w:hint="eastAsia" w:ascii="宋体" w:hAnsi="宋体" w:cs="宋体"/>
        <w:sz w:val="18"/>
        <w:szCs w:val="18"/>
      </w:rPr>
      <w:t>202202008708057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ascii="宋体" w:hAnsi="宋体" w:cs="宋体"/>
        <w:color w:val="000000"/>
      </w:rPr>
    </w:pPr>
    <w:r>
      <w:rPr>
        <w:rFonts w:hint="eastAsia" w:ascii="宋体" w:hAnsi="宋体"/>
        <w:color w:val="000000"/>
      </w:rPr>
      <w:t>项目名称:</w:t>
    </w:r>
    <w:r>
      <w:rPr>
        <w:rFonts w:hint="eastAsia"/>
      </w:rPr>
      <w:t xml:space="preserve"> 金融城站综合交通枢纽PPP项目建设期监管服务采购</w:t>
    </w:r>
    <w:r>
      <w:rPr>
        <w:rFonts w:hint="eastAsia" w:ascii="宋体" w:hAnsi="宋体" w:cs="宋体"/>
        <w:color w:val="000000"/>
      </w:rPr>
      <w:t xml:space="preserve">                                        </w:t>
    </w:r>
  </w:p>
  <w:p>
    <w:pPr>
      <w:pStyle w:val="13"/>
      <w:jc w:val="left"/>
    </w:pPr>
    <w:r>
      <w:rPr>
        <w:rFonts w:hint="eastAsia" w:ascii="宋体" w:hAnsi="宋体"/>
        <w:color w:val="000000"/>
      </w:rPr>
      <w:t>项目编号：202202008708057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D8834"/>
    <w:multiLevelType w:val="singleLevel"/>
    <w:tmpl w:val="EE6D883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OGM3MzYxMWZiMWNjNWY1MTlmZTY2YjUxMDNlMGQifQ=="/>
  </w:docVars>
  <w:rsids>
    <w:rsidRoot w:val="6DF50233"/>
    <w:rsid w:val="00146E0E"/>
    <w:rsid w:val="0019750D"/>
    <w:rsid w:val="00236035"/>
    <w:rsid w:val="002C172E"/>
    <w:rsid w:val="002F014B"/>
    <w:rsid w:val="002F56E5"/>
    <w:rsid w:val="003227AA"/>
    <w:rsid w:val="003860D4"/>
    <w:rsid w:val="0042255D"/>
    <w:rsid w:val="00445D78"/>
    <w:rsid w:val="004765D3"/>
    <w:rsid w:val="00502A78"/>
    <w:rsid w:val="005473AC"/>
    <w:rsid w:val="005F7EB5"/>
    <w:rsid w:val="006562F6"/>
    <w:rsid w:val="006F2A00"/>
    <w:rsid w:val="006F44D8"/>
    <w:rsid w:val="00705180"/>
    <w:rsid w:val="00745EDF"/>
    <w:rsid w:val="0075354D"/>
    <w:rsid w:val="007979D4"/>
    <w:rsid w:val="007A7D30"/>
    <w:rsid w:val="00827C05"/>
    <w:rsid w:val="008D4182"/>
    <w:rsid w:val="00940E27"/>
    <w:rsid w:val="00954688"/>
    <w:rsid w:val="009F0A60"/>
    <w:rsid w:val="00AB5083"/>
    <w:rsid w:val="00AE5571"/>
    <w:rsid w:val="00B25E8A"/>
    <w:rsid w:val="00B675A6"/>
    <w:rsid w:val="00B92677"/>
    <w:rsid w:val="00BA530D"/>
    <w:rsid w:val="00BE0546"/>
    <w:rsid w:val="00C118FE"/>
    <w:rsid w:val="00CC37CE"/>
    <w:rsid w:val="00CD398B"/>
    <w:rsid w:val="00CE1D2E"/>
    <w:rsid w:val="00D00527"/>
    <w:rsid w:val="00D07976"/>
    <w:rsid w:val="00D43014"/>
    <w:rsid w:val="00E54742"/>
    <w:rsid w:val="00F04EDB"/>
    <w:rsid w:val="00F11F31"/>
    <w:rsid w:val="00F76195"/>
    <w:rsid w:val="00FA2BB6"/>
    <w:rsid w:val="00FE3575"/>
    <w:rsid w:val="01B16153"/>
    <w:rsid w:val="02B17482"/>
    <w:rsid w:val="02D57022"/>
    <w:rsid w:val="090D6333"/>
    <w:rsid w:val="098E58F9"/>
    <w:rsid w:val="12EC7654"/>
    <w:rsid w:val="151D621D"/>
    <w:rsid w:val="17886305"/>
    <w:rsid w:val="183A68D2"/>
    <w:rsid w:val="1C32634C"/>
    <w:rsid w:val="21FD975D"/>
    <w:rsid w:val="22012210"/>
    <w:rsid w:val="22946B3F"/>
    <w:rsid w:val="24693C44"/>
    <w:rsid w:val="292A6DC2"/>
    <w:rsid w:val="29FD2F66"/>
    <w:rsid w:val="2DD27CC2"/>
    <w:rsid w:val="2EE8460A"/>
    <w:rsid w:val="38AE2F63"/>
    <w:rsid w:val="46512045"/>
    <w:rsid w:val="46C52DE5"/>
    <w:rsid w:val="48DD1EB2"/>
    <w:rsid w:val="48DF2D7F"/>
    <w:rsid w:val="52A77DC7"/>
    <w:rsid w:val="52D76821"/>
    <w:rsid w:val="5471093C"/>
    <w:rsid w:val="54B92DDD"/>
    <w:rsid w:val="5B793B02"/>
    <w:rsid w:val="5E3E1A91"/>
    <w:rsid w:val="612B032E"/>
    <w:rsid w:val="61577E05"/>
    <w:rsid w:val="62CC59F0"/>
    <w:rsid w:val="62F918DF"/>
    <w:rsid w:val="63746158"/>
    <w:rsid w:val="65EE45A5"/>
    <w:rsid w:val="689110E1"/>
    <w:rsid w:val="6DF50233"/>
    <w:rsid w:val="707552BB"/>
    <w:rsid w:val="754265E2"/>
    <w:rsid w:val="7BBF6770"/>
    <w:rsid w:val="7D733855"/>
    <w:rsid w:val="7EBD7045"/>
    <w:rsid w:val="7EE11E6D"/>
    <w:rsid w:val="B7623E85"/>
    <w:rsid w:val="DF8EB52B"/>
    <w:rsid w:val="F9DC7BE6"/>
    <w:rsid w:val="FBF77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spacing w:line="460" w:lineRule="exact"/>
      <w:outlineLvl w:val="2"/>
    </w:pPr>
    <w:rPr>
      <w:rFonts w:ascii="宋体" w:hAnsi="宋体"/>
      <w:b/>
      <w:bCs/>
      <w:sz w:val="30"/>
    </w:rPr>
  </w:style>
  <w:style w:type="paragraph" w:styleId="6">
    <w:name w:val="heading 6"/>
    <w:basedOn w:val="1"/>
    <w:next w:val="1"/>
    <w:qFormat/>
    <w:uiPriority w:val="0"/>
    <w:pPr>
      <w:spacing w:before="60" w:after="60" w:line="360" w:lineRule="auto"/>
      <w:outlineLvl w:val="5"/>
    </w:pPr>
    <w:rPr>
      <w:b/>
      <w:bCs/>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标准正文"/>
    <w:basedOn w:val="1"/>
    <w:qFormat/>
    <w:uiPriority w:val="0"/>
    <w:pPr>
      <w:snapToGrid w:val="0"/>
      <w:spacing w:before="50" w:beforeLines="50" w:after="50" w:afterLines="50" w:line="360" w:lineRule="auto"/>
      <w:ind w:firstLine="200" w:firstLineChars="200"/>
    </w:pPr>
    <w:rPr>
      <w:sz w:val="28"/>
    </w:rPr>
  </w:style>
  <w:style w:type="paragraph" w:styleId="7">
    <w:name w:val="Normal Indent"/>
    <w:basedOn w:val="1"/>
    <w:qFormat/>
    <w:uiPriority w:val="0"/>
    <w:pPr>
      <w:spacing w:line="360" w:lineRule="auto"/>
      <w:ind w:firstLine="420"/>
    </w:pPr>
    <w:rPr>
      <w:rFonts w:asciiTheme="minorHAnsi" w:hAnsiTheme="minorHAnsi" w:cstheme="minorBidi"/>
      <w:sz w:val="24"/>
      <w:szCs w:val="22"/>
    </w:rPr>
  </w:style>
  <w:style w:type="paragraph" w:styleId="8">
    <w:name w:val="annotation text"/>
    <w:basedOn w:val="1"/>
    <w:link w:val="35"/>
    <w:qFormat/>
    <w:uiPriority w:val="0"/>
    <w:pPr>
      <w:jc w:val="left"/>
    </w:pPr>
  </w:style>
  <w:style w:type="paragraph" w:styleId="9">
    <w:name w:val="Body Text"/>
    <w:basedOn w:val="1"/>
    <w:link w:val="45"/>
    <w:qFormat/>
    <w:uiPriority w:val="0"/>
    <w:pPr>
      <w:spacing w:after="120"/>
    </w:pPr>
  </w:style>
  <w:style w:type="paragraph" w:styleId="10">
    <w:name w:val="Body Text Indent"/>
    <w:basedOn w:val="1"/>
    <w:qFormat/>
    <w:uiPriority w:val="0"/>
    <w:pPr>
      <w:ind w:firstLine="570"/>
    </w:pPr>
    <w:rPr>
      <w:rFonts w:ascii="宋体" w:hAnsi="宋体"/>
      <w:sz w:val="28"/>
      <w:szCs w:val="20"/>
    </w:rPr>
  </w:style>
  <w:style w:type="paragraph" w:styleId="11">
    <w:name w:val="Plain Text"/>
    <w:basedOn w:val="1"/>
    <w:qFormat/>
    <w:uiPriority w:val="0"/>
    <w:pPr>
      <w:spacing w:line="360" w:lineRule="auto"/>
      <w:ind w:firstLine="510"/>
    </w:pPr>
    <w:rPr>
      <w:rFonts w:ascii="宋体" w:hAnsi="Courier New"/>
      <w:sz w:val="24"/>
      <w:szCs w:val="20"/>
    </w:rPr>
  </w:style>
  <w:style w:type="paragraph" w:styleId="12">
    <w:name w:val="footer"/>
    <w:basedOn w:val="1"/>
    <w:next w:val="1"/>
    <w:link w:val="38"/>
    <w:qFormat/>
    <w:uiPriority w:val="99"/>
    <w:pPr>
      <w:pBdr>
        <w:top w:val="single" w:color="auto" w:sz="4" w:space="1"/>
      </w:pBdr>
      <w:tabs>
        <w:tab w:val="center" w:pos="4153"/>
        <w:tab w:val="right" w:pos="8306"/>
      </w:tabs>
      <w:snapToGrid w:val="0"/>
      <w:jc w:val="left"/>
    </w:pPr>
    <w:rPr>
      <w:sz w:val="18"/>
      <w:szCs w:val="18"/>
    </w:rPr>
  </w:style>
  <w:style w:type="paragraph" w:styleId="13">
    <w:name w:val="header"/>
    <w:basedOn w:val="1"/>
    <w:qFormat/>
    <w:uiPriority w:val="0"/>
    <w:pPr>
      <w:pBdr>
        <w:bottom w:val="thinThickLargeGap"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9240"/>
      </w:tabs>
      <w:spacing w:line="360" w:lineRule="auto"/>
      <w:jc w:val="left"/>
    </w:pPr>
    <w:rPr>
      <w:b/>
      <w:bCs/>
      <w:caps/>
    </w:rPr>
  </w:style>
  <w:style w:type="paragraph" w:styleId="15">
    <w:name w:val="toc 2"/>
    <w:basedOn w:val="1"/>
    <w:next w:val="1"/>
    <w:semiHidden/>
    <w:qFormat/>
    <w:uiPriority w:val="0"/>
    <w:pPr>
      <w:ind w:left="420" w:leftChars="200"/>
    </w:pPr>
  </w:style>
  <w:style w:type="paragraph" w:styleId="16">
    <w:name w:val="annotation subject"/>
    <w:basedOn w:val="8"/>
    <w:next w:val="8"/>
    <w:link w:val="36"/>
    <w:qFormat/>
    <w:uiPriority w:val="0"/>
    <w:rPr>
      <w:b/>
      <w:bCs/>
    </w:rPr>
  </w:style>
  <w:style w:type="paragraph" w:styleId="17">
    <w:name w:val="Body Text First Indent"/>
    <w:basedOn w:val="9"/>
    <w:link w:val="46"/>
    <w:qFormat/>
    <w:uiPriority w:val="0"/>
    <w:pPr>
      <w:ind w:firstLine="420" w:firstLineChars="100"/>
    </w:pPr>
  </w:style>
  <w:style w:type="paragraph" w:styleId="18">
    <w:name w:val="Body Text First Indent 2"/>
    <w:basedOn w:val="10"/>
    <w:qFormat/>
    <w:uiPriority w:val="0"/>
    <w:pPr>
      <w:spacing w:after="120"/>
      <w:ind w:left="420" w:leftChars="200" w:firstLine="420" w:firstLineChars="200"/>
    </w:pPr>
    <w:rPr>
      <w:rFonts w:eastAsia="仿宋_GB2312"/>
      <w:sz w:val="32"/>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semiHidden/>
    <w:qFormat/>
    <w:uiPriority w:val="0"/>
    <w:rPr>
      <w:sz w:val="21"/>
      <w:szCs w:val="21"/>
    </w:rPr>
  </w:style>
  <w:style w:type="paragraph" w:customStyle="1" w:styleId="23">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
    <w:name w:val="p141"/>
    <w:qFormat/>
    <w:uiPriority w:val="0"/>
    <w:rPr>
      <w:sz w:val="21"/>
      <w:szCs w:val="21"/>
    </w:rPr>
  </w:style>
  <w:style w:type="paragraph" w:customStyle="1" w:styleId="25">
    <w:name w:val="表"/>
    <w:basedOn w:val="1"/>
    <w:qFormat/>
    <w:uiPriority w:val="0"/>
    <w:pPr>
      <w:spacing w:line="460" w:lineRule="exact"/>
    </w:pPr>
    <w:rPr>
      <w:rFonts w:ascii="宋体" w:hAnsi="宋体"/>
      <w:b/>
      <w:bCs/>
      <w:szCs w:val="20"/>
    </w:rPr>
  </w:style>
  <w:style w:type="paragraph" w:customStyle="1" w:styleId="26">
    <w:name w:val="正文 + 宋体"/>
    <w:basedOn w:val="1"/>
    <w:qFormat/>
    <w:uiPriority w:val="0"/>
    <w:pPr>
      <w:spacing w:line="360" w:lineRule="auto"/>
    </w:pPr>
    <w:rPr>
      <w:rFonts w:hAnsi="宋体"/>
    </w:rPr>
  </w:style>
  <w:style w:type="paragraph" w:customStyle="1" w:styleId="2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8">
    <w:name w:val="p16"/>
    <w:basedOn w:val="1"/>
    <w:qFormat/>
    <w:uiPriority w:val="99"/>
    <w:pPr>
      <w:widowControl/>
      <w:spacing w:line="440" w:lineRule="atLeast"/>
      <w:ind w:firstLine="567"/>
    </w:pPr>
    <w:rPr>
      <w:rFonts w:ascii="宋体" w:hAnsi="宋体" w:cs="宋体"/>
      <w:spacing w:val="4"/>
      <w:kern w:val="0"/>
      <w:sz w:val="24"/>
    </w:rPr>
  </w:style>
  <w:style w:type="paragraph" w:customStyle="1" w:styleId="29">
    <w:name w:val="p0"/>
    <w:basedOn w:val="1"/>
    <w:qFormat/>
    <w:uiPriority w:val="99"/>
    <w:pPr>
      <w:widowControl/>
    </w:pPr>
    <w:rPr>
      <w:kern w:val="0"/>
      <w:szCs w:val="21"/>
    </w:rPr>
  </w:style>
  <w:style w:type="paragraph" w:customStyle="1" w:styleId="30">
    <w:name w:val="标题 4_0"/>
    <w:basedOn w:val="31"/>
    <w:next w:val="32"/>
    <w:qFormat/>
    <w:uiPriority w:val="0"/>
    <w:pPr>
      <w:widowControl w:val="0"/>
      <w:autoSpaceDE w:val="0"/>
      <w:autoSpaceDN w:val="0"/>
      <w:adjustRightInd w:val="0"/>
      <w:snapToGrid w:val="0"/>
      <w:spacing w:line="360" w:lineRule="auto"/>
      <w:jc w:val="both"/>
      <w:outlineLvl w:val="3"/>
    </w:pPr>
    <w:rPr>
      <w:rFonts w:ascii="宋体" w:hAnsi="Arial" w:cs="宋体"/>
      <w:color w:val="000000"/>
    </w:rPr>
  </w:style>
  <w:style w:type="paragraph" w:customStyle="1" w:styleId="31">
    <w:name w:val="正文_1"/>
    <w:qFormat/>
    <w:uiPriority w:val="0"/>
    <w:rPr>
      <w:rFonts w:ascii="Times New Roman" w:hAnsi="Times New Roman" w:eastAsia="宋体" w:cs="Times New Roman"/>
      <w:sz w:val="21"/>
      <w:lang w:val="en-US" w:eastAsia="zh-CN" w:bidi="ar-SA"/>
    </w:rPr>
  </w:style>
  <w:style w:type="paragraph" w:customStyle="1" w:styleId="32">
    <w:name w:val="正文缩进_0"/>
    <w:basedOn w:val="31"/>
    <w:qFormat/>
    <w:uiPriority w:val="0"/>
    <w:pPr>
      <w:ind w:firstLine="420"/>
    </w:pPr>
  </w:style>
  <w:style w:type="character" w:customStyle="1" w:styleId="33">
    <w:name w:val="p141_0"/>
    <w:qFormat/>
    <w:uiPriority w:val="0"/>
    <w:rPr>
      <w:sz w:val="21"/>
      <w:szCs w:val="21"/>
    </w:rPr>
  </w:style>
  <w:style w:type="paragraph" w:customStyle="1" w:styleId="34">
    <w:name w:val="正文1"/>
    <w:qFormat/>
    <w:uiPriority w:val="0"/>
    <w:pPr>
      <w:widowControl w:val="0"/>
      <w:jc w:val="both"/>
    </w:pPr>
    <w:rPr>
      <w:rFonts w:hint="eastAsia" w:ascii="Calibri" w:hAnsi="Calibri" w:eastAsia="宋体" w:cs="Times New Roman"/>
      <w:kern w:val="2"/>
      <w:sz w:val="21"/>
      <w:lang w:val="en-US" w:eastAsia="zh-CN" w:bidi="ar-SA"/>
    </w:rPr>
  </w:style>
  <w:style w:type="character" w:customStyle="1" w:styleId="35">
    <w:name w:val="批注文字 字符"/>
    <w:basedOn w:val="21"/>
    <w:link w:val="8"/>
    <w:qFormat/>
    <w:uiPriority w:val="0"/>
    <w:rPr>
      <w:kern w:val="2"/>
      <w:sz w:val="21"/>
      <w:szCs w:val="24"/>
    </w:rPr>
  </w:style>
  <w:style w:type="character" w:customStyle="1" w:styleId="36">
    <w:name w:val="批注主题 字符"/>
    <w:basedOn w:val="35"/>
    <w:link w:val="16"/>
    <w:qFormat/>
    <w:uiPriority w:val="0"/>
    <w:rPr>
      <w:b/>
      <w:bCs/>
      <w:kern w:val="2"/>
      <w:sz w:val="21"/>
      <w:szCs w:val="24"/>
    </w:rPr>
  </w:style>
  <w:style w:type="paragraph" w:customStyle="1" w:styleId="3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8">
    <w:name w:val="页脚 字符"/>
    <w:basedOn w:val="21"/>
    <w:link w:val="12"/>
    <w:qFormat/>
    <w:uiPriority w:val="99"/>
    <w:rPr>
      <w:kern w:val="2"/>
      <w:sz w:val="18"/>
      <w:szCs w:val="18"/>
    </w:rPr>
  </w:style>
  <w:style w:type="paragraph" w:customStyle="1" w:styleId="3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0">
    <w:name w:val="正文_3"/>
    <w:qFormat/>
    <w:uiPriority w:val="0"/>
    <w:rPr>
      <w:rFonts w:ascii="Times New Roman" w:hAnsi="Times New Roman" w:eastAsia="宋体" w:cs="Times New Roman"/>
      <w:sz w:val="21"/>
      <w:lang w:val="en-US" w:eastAsia="zh-CN" w:bidi="ar-SA"/>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paragraph" w:customStyle="1" w:styleId="42">
    <w:name w:val="页脚2"/>
    <w:basedOn w:val="1"/>
    <w:qFormat/>
    <w:uiPriority w:val="0"/>
    <w:pPr>
      <w:widowControl/>
      <w:pBdr>
        <w:top w:val="single" w:color="auto" w:sz="6" w:space="0"/>
      </w:pBdr>
      <w:jc w:val="right"/>
      <w:textAlignment w:val="center"/>
    </w:pPr>
    <w:rPr>
      <w:rFonts w:ascii="宋体" w:hAnsi="宋体" w:cstheme="minorBidi"/>
      <w:sz w:val="18"/>
      <w:szCs w:val="18"/>
    </w:rPr>
  </w:style>
  <w:style w:type="paragraph" w:customStyle="1" w:styleId="43">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5">
    <w:name w:val="正文文本 字符"/>
    <w:basedOn w:val="21"/>
    <w:link w:val="9"/>
    <w:qFormat/>
    <w:uiPriority w:val="0"/>
    <w:rPr>
      <w:kern w:val="2"/>
      <w:sz w:val="21"/>
      <w:szCs w:val="24"/>
    </w:rPr>
  </w:style>
  <w:style w:type="character" w:customStyle="1" w:styleId="46">
    <w:name w:val="正文文本首行缩进 字符"/>
    <w:basedOn w:val="45"/>
    <w:link w:val="17"/>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7752</Words>
  <Characters>625</Characters>
  <Lines>5</Lines>
  <Paragraphs>16</Paragraphs>
  <TotalTime>1</TotalTime>
  <ScaleCrop>false</ScaleCrop>
  <LinksUpToDate>false</LinksUpToDate>
  <CharactersWithSpaces>8361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2022-05-19T13:23:00Z</dcterms:created>
  <dc:creator>liuli</dc:creator>
  <cp:lastModifiedBy>huawei</cp:lastModifiedBy>
  <cp:lastPrinted>2022-01-06T11:29:00Z</cp:lastPrinted>
  <dcterms:modified xsi:type="dcterms:W3CDTF">2022-05-24T17:54:10Z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66276AE163F34FF19DEE0DE281F1D82F</vt:lpwstr>
  </property>
</Properties>
</file>