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采购需求</w:t>
      </w:r>
    </w:p>
    <w:p>
      <w:pPr>
        <w:numPr>
          <w:ilvl w:val="0"/>
          <w:numId w:val="1"/>
        </w:numPr>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项目概况</w:t>
      </w:r>
    </w:p>
    <w:p>
      <w:pPr>
        <w:pStyle w:val="2"/>
        <w:numPr>
          <w:ilvl w:val="0"/>
          <w:numId w:val="2"/>
        </w:numPr>
        <w:rPr>
          <w:rFonts w:hint="eastAsia" w:ascii="宋体" w:hAnsi="宋体" w:eastAsia="宋体" w:cs="宋体"/>
          <w:b/>
          <w:bCs/>
          <w:snapToGrid w:val="0"/>
          <w:color w:val="000000"/>
          <w:spacing w:val="10"/>
          <w:sz w:val="21"/>
          <w:szCs w:val="21"/>
          <w:highlight w:val="none"/>
          <w:lang w:val="en-US" w:eastAsia="zh-CN" w:bidi="ar-SA"/>
        </w:rPr>
      </w:pPr>
      <w:r>
        <w:rPr>
          <w:rFonts w:hint="eastAsia" w:ascii="宋体" w:hAnsi="宋体" w:eastAsia="宋体" w:cs="宋体"/>
          <w:b/>
          <w:bCs/>
          <w:snapToGrid w:val="0"/>
          <w:color w:val="000000"/>
          <w:spacing w:val="10"/>
          <w:sz w:val="21"/>
          <w:szCs w:val="21"/>
          <w:highlight w:val="none"/>
          <w:lang w:val="en-US" w:eastAsia="zh-CN" w:bidi="ar-SA"/>
        </w:rPr>
        <w:t>项目概况</w:t>
      </w:r>
    </w:p>
    <w:p>
      <w:pPr>
        <w:pStyle w:val="2"/>
        <w:numPr>
          <w:ilvl w:val="0"/>
          <w:numId w:val="0"/>
        </w:numPr>
        <w:rPr>
          <w:rFonts w:hint="default" w:ascii="宋体" w:hAnsi="宋体" w:eastAsia="宋体" w:cs="宋体"/>
          <w:b/>
          <w:bCs/>
          <w:snapToGrid w:val="0"/>
          <w:color w:val="000000"/>
          <w:spacing w:val="10"/>
          <w:sz w:val="21"/>
          <w:szCs w:val="21"/>
          <w:highlight w:val="none"/>
          <w:lang w:val="en-US" w:eastAsia="zh-CN" w:bidi="ar-SA"/>
        </w:rPr>
      </w:pPr>
      <w:r>
        <w:rPr>
          <w:rFonts w:hint="eastAsia" w:ascii="宋体" w:hAnsi="宋体" w:eastAsia="宋体" w:cs="宋体"/>
          <w:b/>
          <w:bCs/>
          <w:snapToGrid w:val="0"/>
          <w:color w:val="000000"/>
          <w:spacing w:val="10"/>
          <w:sz w:val="21"/>
          <w:szCs w:val="21"/>
          <w:highlight w:val="none"/>
          <w:lang w:val="en-US" w:eastAsia="zh-CN" w:bidi="ar-SA"/>
        </w:rPr>
        <w:t xml:space="preserve"> </w:t>
      </w:r>
    </w:p>
    <w:tbl>
      <w:tblPr>
        <w:tblStyle w:val="8"/>
        <w:tblW w:w="50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63"/>
        <w:gridCol w:w="1469"/>
        <w:gridCol w:w="2415"/>
        <w:gridCol w:w="850"/>
        <w:gridCol w:w="1101"/>
        <w:gridCol w:w="1210"/>
        <w:gridCol w:w="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45"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品目号</w:t>
            </w:r>
          </w:p>
        </w:tc>
        <w:tc>
          <w:tcPr>
            <w:tcW w:w="908"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品目名称</w:t>
            </w:r>
          </w:p>
        </w:tc>
        <w:tc>
          <w:tcPr>
            <w:tcW w:w="1475"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采购标的</w:t>
            </w:r>
          </w:p>
        </w:tc>
        <w:tc>
          <w:tcPr>
            <w:tcW w:w="517"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数量</w:t>
            </w:r>
          </w:p>
          <w:p>
            <w:pPr>
              <w:jc w:val="center"/>
              <w:rPr>
                <w:rFonts w:ascii="宋体" w:hAnsi="宋体" w:eastAsia="宋体" w:cs="宋体"/>
                <w:highlight w:val="none"/>
              </w:rPr>
            </w:pPr>
            <w:r>
              <w:rPr>
                <w:rFonts w:hint="eastAsia" w:ascii="宋体" w:hAnsi="宋体" w:eastAsia="宋体" w:cs="宋体"/>
                <w:highlight w:val="none"/>
              </w:rPr>
              <w:t>（单位）</w:t>
            </w:r>
          </w:p>
        </w:tc>
        <w:tc>
          <w:tcPr>
            <w:tcW w:w="706"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技术规格、参数及要求</w:t>
            </w:r>
          </w:p>
        </w:tc>
        <w:tc>
          <w:tcPr>
            <w:tcW w:w="562"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品目预算(元)</w:t>
            </w:r>
          </w:p>
        </w:tc>
        <w:tc>
          <w:tcPr>
            <w:tcW w:w="583"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是否允许进口产品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245" w:type="pct"/>
            <w:vAlign w:val="center"/>
          </w:tcPr>
          <w:p>
            <w:pPr>
              <w:jc w:val="center"/>
              <w:rPr>
                <w:rFonts w:ascii="宋体" w:hAnsi="宋体" w:eastAsia="宋体" w:cs="宋体"/>
                <w:highlight w:val="none"/>
              </w:rPr>
            </w:pPr>
            <w:r>
              <w:rPr>
                <w:rFonts w:hint="eastAsia" w:ascii="宋体" w:hAnsi="宋体" w:eastAsia="宋体" w:cs="宋体"/>
                <w:highlight w:val="none"/>
              </w:rPr>
              <w:t>1-1</w:t>
            </w:r>
          </w:p>
        </w:tc>
        <w:tc>
          <w:tcPr>
            <w:tcW w:w="908" w:type="pct"/>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 xml:space="preserve">其他农作物副产品   </w:t>
            </w:r>
          </w:p>
        </w:tc>
        <w:tc>
          <w:tcPr>
            <w:tcW w:w="1475" w:type="pct"/>
            <w:vAlign w:val="center"/>
          </w:tcPr>
          <w:p>
            <w:pPr>
              <w:jc w:val="center"/>
              <w:rPr>
                <w:rFonts w:hint="eastAsia" w:ascii="宋体" w:hAnsi="宋体" w:eastAsia="宋体" w:cs="宋体"/>
                <w:highlight w:val="none"/>
                <w:lang w:eastAsia="zh-CN"/>
              </w:rPr>
            </w:pPr>
            <w:r>
              <w:rPr>
                <w:rFonts w:ascii="宋体" w:cs="宋体"/>
                <w:bCs/>
                <w:sz w:val="24"/>
                <w:szCs w:val="24"/>
                <w:highlight w:val="none"/>
              </w:rPr>
              <w:t>广州市公安局增城区分局202</w:t>
            </w:r>
            <w:r>
              <w:rPr>
                <w:rFonts w:hint="eastAsia" w:ascii="宋体" w:cs="宋体"/>
                <w:bCs/>
                <w:sz w:val="24"/>
                <w:szCs w:val="24"/>
                <w:highlight w:val="none"/>
                <w:lang w:val="en-US" w:eastAsia="zh-CN"/>
              </w:rPr>
              <w:t>3</w:t>
            </w:r>
            <w:r>
              <w:rPr>
                <w:rFonts w:ascii="宋体" w:cs="宋体"/>
                <w:bCs/>
                <w:sz w:val="24"/>
                <w:szCs w:val="24"/>
                <w:highlight w:val="none"/>
              </w:rPr>
              <w:t>年饭堂食材采购</w:t>
            </w:r>
            <w:r>
              <w:rPr>
                <w:rFonts w:hint="eastAsia" w:ascii="宋体" w:eastAsia="宋体" w:cs="宋体"/>
                <w:bCs/>
                <w:sz w:val="24"/>
                <w:szCs w:val="24"/>
                <w:highlight w:val="none"/>
                <w:lang w:eastAsia="zh-CN"/>
              </w:rPr>
              <w:t>（</w:t>
            </w:r>
            <w:r>
              <w:rPr>
                <w:rFonts w:hint="eastAsia" w:ascii="宋体" w:eastAsia="宋体" w:cs="宋体"/>
                <w:bCs/>
                <w:sz w:val="24"/>
                <w:szCs w:val="24"/>
                <w:highlight w:val="none"/>
                <w:lang w:val="en-US" w:eastAsia="zh-CN"/>
              </w:rPr>
              <w:t>北部片区</w:t>
            </w:r>
            <w:r>
              <w:rPr>
                <w:rFonts w:hint="eastAsia" w:ascii="宋体" w:eastAsia="宋体" w:cs="宋体"/>
                <w:bCs/>
                <w:sz w:val="24"/>
                <w:szCs w:val="24"/>
                <w:highlight w:val="none"/>
                <w:lang w:eastAsia="zh-CN"/>
              </w:rPr>
              <w:t>）</w:t>
            </w:r>
          </w:p>
        </w:tc>
        <w:tc>
          <w:tcPr>
            <w:tcW w:w="517" w:type="pct"/>
            <w:vAlign w:val="center"/>
          </w:tcPr>
          <w:p>
            <w:pPr>
              <w:jc w:val="center"/>
              <w:rPr>
                <w:rFonts w:ascii="宋体" w:hAnsi="宋体" w:eastAsia="宋体" w:cs="宋体"/>
                <w:highlight w:val="none"/>
              </w:rPr>
            </w:pPr>
            <w:r>
              <w:rPr>
                <w:rFonts w:hint="eastAsia" w:ascii="宋体" w:hAnsi="宋体" w:eastAsia="宋体" w:cs="宋体"/>
                <w:highlight w:val="none"/>
              </w:rPr>
              <w:t>1.00(项)</w:t>
            </w:r>
          </w:p>
        </w:tc>
        <w:tc>
          <w:tcPr>
            <w:tcW w:w="706" w:type="pct"/>
            <w:vAlign w:val="center"/>
          </w:tcPr>
          <w:p>
            <w:pPr>
              <w:jc w:val="center"/>
              <w:rPr>
                <w:rFonts w:ascii="宋体" w:hAnsi="宋体" w:eastAsia="宋体" w:cs="宋体"/>
                <w:highlight w:val="none"/>
              </w:rPr>
            </w:pPr>
            <w:r>
              <w:rPr>
                <w:rFonts w:hint="eastAsia" w:ascii="宋体" w:hAnsi="宋体" w:eastAsia="宋体" w:cs="宋体"/>
                <w:highlight w:val="none"/>
              </w:rPr>
              <w:t>详见第二章</w:t>
            </w:r>
          </w:p>
        </w:tc>
        <w:tc>
          <w:tcPr>
            <w:tcW w:w="562" w:type="pct"/>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 xml:space="preserve"> </w:t>
            </w:r>
            <w:r>
              <w:rPr>
                <w:rFonts w:hint="eastAsia" w:ascii="宋体" w:cs="宋体"/>
                <w:bCs/>
                <w:sz w:val="24"/>
                <w:szCs w:val="24"/>
                <w:highlight w:val="none"/>
                <w:lang w:val="en-US" w:eastAsia="zh-CN"/>
              </w:rPr>
              <w:t>10,510,800元</w:t>
            </w:r>
            <w:r>
              <w:rPr>
                <w:rFonts w:hint="eastAsia" w:ascii="宋体" w:hAnsi="宋体" w:eastAsia="宋体" w:cs="宋体"/>
                <w:highlight w:val="none"/>
                <w:lang w:val="en-US" w:eastAsia="zh-CN"/>
              </w:rPr>
              <w:t xml:space="preserve">   </w:t>
            </w:r>
          </w:p>
        </w:tc>
        <w:tc>
          <w:tcPr>
            <w:tcW w:w="583" w:type="pct"/>
            <w:vAlign w:val="center"/>
          </w:tcPr>
          <w:p>
            <w:pPr>
              <w:jc w:val="center"/>
              <w:rPr>
                <w:rFonts w:ascii="宋体" w:hAnsi="宋体" w:eastAsia="宋体" w:cs="宋体"/>
                <w:highlight w:val="none"/>
              </w:rPr>
            </w:pPr>
            <w:r>
              <w:rPr>
                <w:rFonts w:hint="eastAsia" w:ascii="宋体" w:hAnsi="宋体" w:eastAsia="宋体" w:cs="宋体"/>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245" w:type="pct"/>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1-2</w:t>
            </w:r>
          </w:p>
        </w:tc>
        <w:tc>
          <w:tcPr>
            <w:tcW w:w="908" w:type="pct"/>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其他农作物副产品</w:t>
            </w:r>
          </w:p>
        </w:tc>
        <w:tc>
          <w:tcPr>
            <w:tcW w:w="1475" w:type="pct"/>
            <w:vAlign w:val="center"/>
          </w:tcPr>
          <w:p>
            <w:pPr>
              <w:jc w:val="center"/>
              <w:rPr>
                <w:rFonts w:hint="eastAsia" w:ascii="宋体" w:eastAsia="宋体" w:cs="宋体"/>
                <w:bCs/>
                <w:sz w:val="24"/>
                <w:szCs w:val="24"/>
                <w:highlight w:val="none"/>
                <w:lang w:eastAsia="zh-CN"/>
              </w:rPr>
            </w:pPr>
            <w:r>
              <w:rPr>
                <w:rFonts w:ascii="宋体" w:cs="宋体"/>
                <w:bCs/>
                <w:sz w:val="24"/>
                <w:szCs w:val="24"/>
                <w:highlight w:val="none"/>
              </w:rPr>
              <w:t>广州市公安局增城区分局202</w:t>
            </w:r>
            <w:r>
              <w:rPr>
                <w:rFonts w:hint="eastAsia" w:ascii="宋体" w:cs="宋体"/>
                <w:bCs/>
                <w:sz w:val="24"/>
                <w:szCs w:val="24"/>
                <w:highlight w:val="none"/>
                <w:lang w:val="en-US" w:eastAsia="zh-CN"/>
              </w:rPr>
              <w:t>3</w:t>
            </w:r>
            <w:r>
              <w:rPr>
                <w:rFonts w:ascii="宋体" w:cs="宋体"/>
                <w:bCs/>
                <w:sz w:val="24"/>
                <w:szCs w:val="24"/>
                <w:highlight w:val="none"/>
              </w:rPr>
              <w:t>年饭堂食材采购</w:t>
            </w:r>
            <w:r>
              <w:rPr>
                <w:rFonts w:hint="eastAsia" w:ascii="宋体" w:eastAsia="宋体" w:cs="宋体"/>
                <w:bCs/>
                <w:sz w:val="24"/>
                <w:szCs w:val="24"/>
                <w:highlight w:val="none"/>
                <w:lang w:eastAsia="zh-CN"/>
              </w:rPr>
              <w:t>（</w:t>
            </w:r>
            <w:r>
              <w:rPr>
                <w:rFonts w:hint="eastAsia" w:ascii="宋体" w:eastAsia="宋体" w:cs="宋体"/>
                <w:bCs/>
                <w:sz w:val="24"/>
                <w:szCs w:val="24"/>
                <w:highlight w:val="none"/>
                <w:lang w:val="en-US" w:eastAsia="zh-CN"/>
              </w:rPr>
              <w:t>南部片区</w:t>
            </w:r>
            <w:r>
              <w:rPr>
                <w:rFonts w:hint="eastAsia" w:ascii="宋体" w:eastAsia="宋体" w:cs="宋体"/>
                <w:bCs/>
                <w:sz w:val="24"/>
                <w:szCs w:val="24"/>
                <w:highlight w:val="none"/>
                <w:lang w:eastAsia="zh-CN"/>
              </w:rPr>
              <w:t>）</w:t>
            </w:r>
          </w:p>
        </w:tc>
        <w:tc>
          <w:tcPr>
            <w:tcW w:w="517" w:type="pct"/>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rPr>
              <w:t>1.00(项)</w:t>
            </w:r>
          </w:p>
        </w:tc>
        <w:tc>
          <w:tcPr>
            <w:tcW w:w="706" w:type="pct"/>
            <w:vAlign w:val="center"/>
          </w:tcPr>
          <w:p>
            <w:pPr>
              <w:jc w:val="center"/>
              <w:rPr>
                <w:rFonts w:hint="eastAsia" w:ascii="宋体" w:hAnsi="宋体" w:eastAsia="宋体" w:cs="宋体"/>
                <w:highlight w:val="none"/>
              </w:rPr>
            </w:pPr>
            <w:r>
              <w:rPr>
                <w:rFonts w:hint="eastAsia" w:ascii="宋体" w:hAnsi="宋体" w:eastAsia="宋体" w:cs="宋体"/>
                <w:highlight w:val="none"/>
              </w:rPr>
              <w:t>详见第二章</w:t>
            </w:r>
          </w:p>
        </w:tc>
        <w:tc>
          <w:tcPr>
            <w:tcW w:w="562" w:type="pct"/>
            <w:vAlign w:val="center"/>
          </w:tcPr>
          <w:p>
            <w:pPr>
              <w:jc w:val="center"/>
              <w:rPr>
                <w:rFonts w:hint="eastAsia" w:ascii="宋体" w:hAnsi="宋体" w:eastAsia="宋体" w:cs="宋体"/>
                <w:highlight w:val="none"/>
                <w:lang w:val="en-US" w:eastAsia="zh-CN"/>
              </w:rPr>
            </w:pPr>
            <w:r>
              <w:rPr>
                <w:rFonts w:hint="eastAsia" w:ascii="宋体" w:cs="宋体"/>
                <w:bCs/>
                <w:sz w:val="24"/>
                <w:szCs w:val="24"/>
                <w:highlight w:val="none"/>
                <w:lang w:val="en-US" w:eastAsia="zh-CN"/>
              </w:rPr>
              <w:t>6,137,040元</w:t>
            </w:r>
          </w:p>
        </w:tc>
        <w:tc>
          <w:tcPr>
            <w:tcW w:w="583" w:type="pct"/>
            <w:vAlign w:val="center"/>
          </w:tcPr>
          <w:p>
            <w:pPr>
              <w:jc w:val="center"/>
              <w:rPr>
                <w:rFonts w:hint="eastAsia" w:ascii="宋体" w:hAnsi="宋体" w:eastAsia="宋体" w:cs="宋体"/>
                <w:highlight w:val="none"/>
              </w:rPr>
            </w:pPr>
            <w:r>
              <w:rPr>
                <w:rFonts w:hint="eastAsia" w:ascii="宋体" w:hAnsi="宋体" w:eastAsia="宋体" w:cs="宋体"/>
                <w:highlight w:val="none"/>
              </w:rPr>
              <w:t>否</w:t>
            </w:r>
          </w:p>
        </w:tc>
      </w:tr>
    </w:tbl>
    <w:p>
      <w:pPr>
        <w:pStyle w:val="2"/>
        <w:numPr>
          <w:ilvl w:val="0"/>
          <w:numId w:val="0"/>
        </w:numPr>
        <w:rPr>
          <w:rFonts w:hint="default" w:ascii="宋体" w:hAnsi="宋体" w:eastAsia="宋体" w:cs="宋体"/>
          <w:bCs w:val="0"/>
          <w:snapToGrid w:val="0"/>
          <w:color w:val="000000"/>
          <w:spacing w:val="10"/>
          <w:sz w:val="21"/>
          <w:szCs w:val="21"/>
          <w:highlight w:val="none"/>
          <w:lang w:val="en-US" w:eastAsia="zh-CN" w:bidi="ar-SA"/>
        </w:rPr>
      </w:pPr>
    </w:p>
    <w:p>
      <w:pPr>
        <w:spacing w:before="65" w:line="360" w:lineRule="auto"/>
        <w:ind w:firstLine="5"/>
        <w:outlineLvl w:val="1"/>
        <w:rPr>
          <w:rFonts w:ascii="宋体" w:hAnsi="宋体" w:eastAsia="宋体" w:cs="宋体"/>
          <w:b/>
          <w:bCs/>
          <w:highlight w:val="none"/>
        </w:rPr>
      </w:pPr>
      <w:r>
        <w:rPr>
          <w:rFonts w:hint="eastAsia" w:ascii="宋体" w:hAnsi="宋体" w:eastAsia="宋体" w:cs="宋体"/>
          <w:b/>
          <w:bCs/>
          <w:spacing w:val="10"/>
          <w:highlight w:val="none"/>
          <w:lang w:eastAsia="zh-CN"/>
        </w:rPr>
        <w:t>（</w:t>
      </w:r>
      <w:r>
        <w:rPr>
          <w:rFonts w:hint="eastAsia" w:ascii="宋体" w:hAnsi="宋体" w:eastAsia="宋体" w:cs="宋体"/>
          <w:b/>
          <w:bCs/>
          <w:spacing w:val="10"/>
          <w:highlight w:val="none"/>
          <w:lang w:val="en-US" w:eastAsia="zh-CN"/>
        </w:rPr>
        <w:t>二</w:t>
      </w:r>
      <w:r>
        <w:rPr>
          <w:rFonts w:hint="eastAsia" w:ascii="宋体" w:hAnsi="宋体" w:eastAsia="宋体" w:cs="宋体"/>
          <w:b/>
          <w:bCs/>
          <w:spacing w:val="10"/>
          <w:highlight w:val="none"/>
          <w:lang w:eastAsia="zh-CN"/>
        </w:rPr>
        <w:t>）</w:t>
      </w:r>
      <w:r>
        <w:rPr>
          <w:rFonts w:hint="eastAsia" w:ascii="宋体" w:hAnsi="宋体" w:eastAsia="宋体" w:cs="宋体"/>
          <w:b/>
          <w:bCs/>
          <w:spacing w:val="10"/>
          <w:highlight w:val="none"/>
        </w:rPr>
        <w:t>项目</w:t>
      </w:r>
      <w:r>
        <w:rPr>
          <w:rFonts w:hint="eastAsia" w:ascii="宋体" w:hAnsi="宋体" w:eastAsia="宋体" w:cs="宋体"/>
          <w:b/>
          <w:bCs/>
          <w:spacing w:val="10"/>
          <w:highlight w:val="none"/>
          <w:lang w:val="en-US" w:eastAsia="zh-CN"/>
        </w:rPr>
        <w:t>背景</w:t>
      </w:r>
      <w:r>
        <w:rPr>
          <w:rFonts w:hint="eastAsia" w:ascii="宋体" w:hAnsi="宋体" w:eastAsia="宋体" w:cs="宋体"/>
          <w:b/>
          <w:bCs/>
          <w:spacing w:val="10"/>
          <w:highlight w:val="none"/>
        </w:rPr>
        <w:t>：</w:t>
      </w:r>
    </w:p>
    <w:p>
      <w:pPr>
        <w:spacing w:before="1" w:line="360" w:lineRule="auto"/>
        <w:ind w:firstLine="22"/>
        <w:rPr>
          <w:rFonts w:hint="eastAsia" w:ascii="宋体" w:hAnsi="宋体" w:eastAsia="宋体" w:cs="宋体"/>
          <w:spacing w:val="-3"/>
          <w:highlight w:val="none"/>
        </w:rPr>
      </w:pPr>
      <w:r>
        <w:rPr>
          <w:rFonts w:hint="eastAsia" w:ascii="宋体" w:hAnsi="宋体" w:eastAsia="宋体" w:cs="宋体"/>
          <w:spacing w:val="-3"/>
          <w:highlight w:val="none"/>
        </w:rPr>
        <w:t>本项目为广州市公安局增城区分局饭堂食材供应项目，具体分别包含44个饭堂，饭堂情况见下表。本项目通过公开招标的方式确定上述食堂食材供应商，具体食材包含但不限于蛋肉类、粮油面类、瓜果蔬菜类、冻品类、干货和腊味类、调味品和配料类等类别内容。供货期为自签订合同之日起12个月或采购费用总额累计达到</w:t>
      </w:r>
      <w:r>
        <w:rPr>
          <w:rFonts w:hint="eastAsia" w:ascii="宋体" w:hAnsi="宋体" w:eastAsia="宋体" w:cs="宋体"/>
          <w:spacing w:val="-3"/>
          <w:highlight w:val="none"/>
          <w:lang w:eastAsia="zh-CN"/>
        </w:rPr>
        <w:t>每个</w:t>
      </w:r>
      <w:r>
        <w:rPr>
          <w:rFonts w:hint="eastAsia" w:ascii="宋体" w:hAnsi="宋体" w:eastAsia="宋体" w:cs="宋体"/>
          <w:spacing w:val="-3"/>
          <w:highlight w:val="none"/>
          <w:lang w:val="en-US" w:eastAsia="zh-CN"/>
        </w:rPr>
        <w:t>子包</w:t>
      </w:r>
      <w:r>
        <w:rPr>
          <w:rFonts w:hint="eastAsia" w:ascii="宋体" w:hAnsi="宋体" w:eastAsia="宋体" w:cs="宋体"/>
          <w:spacing w:val="-3"/>
          <w:highlight w:val="none"/>
          <w:lang w:eastAsia="zh-CN"/>
        </w:rPr>
        <w:t>预算金额</w:t>
      </w:r>
      <w:r>
        <w:rPr>
          <w:rFonts w:hint="eastAsia" w:ascii="宋体" w:hAnsi="宋体" w:eastAsia="宋体" w:cs="宋体"/>
          <w:spacing w:val="-3"/>
          <w:highlight w:val="none"/>
        </w:rPr>
        <w:t>时，以先到者为期限，本合同随之终止。</w:t>
      </w:r>
    </w:p>
    <w:p>
      <w:pPr>
        <w:spacing w:before="1" w:line="360" w:lineRule="auto"/>
        <w:ind w:firstLine="1034" w:firstLineChars="507"/>
        <w:rPr>
          <w:rFonts w:hint="default"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子包</w:t>
      </w:r>
      <w:r>
        <w:rPr>
          <w:rFonts w:hint="eastAsia" w:ascii="宋体" w:hAnsi="宋体" w:eastAsia="宋体" w:cs="宋体"/>
          <w:spacing w:val="-3"/>
          <w:highlight w:val="none"/>
          <w:lang w:eastAsia="zh-CN"/>
        </w:rPr>
        <w:t>一（北部片区）预算金额</w:t>
      </w:r>
      <w:r>
        <w:rPr>
          <w:rFonts w:hint="eastAsia" w:ascii="宋体" w:hAnsi="宋体" w:eastAsia="宋体" w:cs="宋体"/>
          <w:spacing w:val="-3"/>
          <w:highlight w:val="none"/>
          <w:lang w:val="en-US" w:eastAsia="zh-CN"/>
        </w:rPr>
        <w:t>人民币10,510,800元，包含饭堂20个。</w:t>
      </w:r>
    </w:p>
    <w:p>
      <w:pPr>
        <w:tabs>
          <w:tab w:val="left" w:pos="840"/>
        </w:tabs>
        <w:spacing w:line="520" w:lineRule="exact"/>
        <w:ind w:firstLine="480" w:firstLineChars="200"/>
        <w:jc w:val="center"/>
        <w:rPr>
          <w:rFonts w:ascii="宋体" w:hAnsi="宋体"/>
          <w:bCs/>
          <w:sz w:val="24"/>
          <w:szCs w:val="24"/>
          <w:highlight w:val="none"/>
        </w:rPr>
      </w:pPr>
      <w:r>
        <w:rPr>
          <w:rFonts w:hint="eastAsia" w:ascii="宋体" w:hAnsi="宋体"/>
          <w:bCs/>
          <w:sz w:val="24"/>
          <w:szCs w:val="24"/>
          <w:highlight w:val="none"/>
          <w:lang w:val="en-US" w:eastAsia="zh-CN"/>
        </w:rPr>
        <w:t>北</w:t>
      </w:r>
      <w:r>
        <w:rPr>
          <w:rFonts w:hint="eastAsia" w:ascii="宋体" w:hAnsi="宋体"/>
          <w:bCs/>
          <w:sz w:val="24"/>
          <w:szCs w:val="24"/>
          <w:highlight w:val="none"/>
          <w:lang w:eastAsia="zh-CN"/>
        </w:rPr>
        <w:t>部片区</w:t>
      </w:r>
      <w:r>
        <w:rPr>
          <w:rFonts w:hint="eastAsia" w:ascii="宋体" w:hAnsi="宋体"/>
          <w:bCs/>
          <w:sz w:val="24"/>
          <w:szCs w:val="24"/>
          <w:highlight w:val="none"/>
        </w:rPr>
        <w:t>饭堂情况表</w:t>
      </w:r>
    </w:p>
    <w:tbl>
      <w:tblPr>
        <w:tblStyle w:val="6"/>
        <w:tblW w:w="8792" w:type="dxa"/>
        <w:tblInd w:w="91" w:type="dxa"/>
        <w:tblLayout w:type="autofit"/>
        <w:tblCellMar>
          <w:top w:w="0" w:type="dxa"/>
          <w:left w:w="108" w:type="dxa"/>
          <w:bottom w:w="0" w:type="dxa"/>
          <w:right w:w="108" w:type="dxa"/>
        </w:tblCellMar>
      </w:tblPr>
      <w:tblGrid>
        <w:gridCol w:w="680"/>
        <w:gridCol w:w="2739"/>
        <w:gridCol w:w="2410"/>
        <w:gridCol w:w="2963"/>
      </w:tblGrid>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序号</w:t>
            </w:r>
          </w:p>
        </w:tc>
        <w:tc>
          <w:tcPr>
            <w:tcW w:w="27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lang w:eastAsia="zh-CN"/>
              </w:rPr>
              <w:t>饭</w:t>
            </w:r>
            <w:r>
              <w:rPr>
                <w:rFonts w:hint="eastAsia" w:ascii="仿宋" w:hAnsi="仿宋" w:eastAsia="仿宋" w:cs="宋体"/>
                <w:b/>
                <w:bCs/>
                <w:color w:val="000000"/>
                <w:kern w:val="0"/>
                <w:sz w:val="24"/>
                <w:szCs w:val="24"/>
                <w:highlight w:val="none"/>
              </w:rPr>
              <w:t>堂名称</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预算情况（</w:t>
            </w:r>
            <w:r>
              <w:rPr>
                <w:rFonts w:hint="eastAsia" w:ascii="仿宋" w:hAnsi="仿宋" w:eastAsia="仿宋" w:cs="宋体"/>
                <w:b/>
                <w:bCs/>
                <w:color w:val="000000"/>
                <w:kern w:val="0"/>
                <w:sz w:val="24"/>
                <w:szCs w:val="24"/>
                <w:highlight w:val="none"/>
                <w:lang w:val="en-US" w:eastAsia="zh-CN"/>
              </w:rPr>
              <w:t>人民币：</w:t>
            </w:r>
            <w:r>
              <w:rPr>
                <w:rFonts w:hint="eastAsia" w:ascii="仿宋" w:hAnsi="仿宋" w:eastAsia="仿宋" w:cs="宋体"/>
                <w:b/>
                <w:bCs/>
                <w:color w:val="000000"/>
                <w:kern w:val="0"/>
                <w:sz w:val="24"/>
                <w:szCs w:val="24"/>
                <w:highlight w:val="none"/>
              </w:rPr>
              <w:t>元/年）</w:t>
            </w:r>
          </w:p>
        </w:tc>
        <w:tc>
          <w:tcPr>
            <w:tcW w:w="296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备注</w:t>
            </w:r>
          </w:p>
        </w:tc>
      </w:tr>
      <w:tr>
        <w:tblPrEx>
          <w:tblCellMar>
            <w:top w:w="0" w:type="dxa"/>
            <w:left w:w="108" w:type="dxa"/>
            <w:bottom w:w="0" w:type="dxa"/>
            <w:right w:w="108" w:type="dxa"/>
          </w:tblCellMar>
        </w:tblPrEx>
        <w:trPr>
          <w:trHeight w:val="454" w:hRule="atLeast"/>
        </w:trPr>
        <w:tc>
          <w:tcPr>
            <w:tcW w:w="680" w:type="dxa"/>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1</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分局大院食堂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3356560</w:t>
            </w:r>
          </w:p>
        </w:tc>
        <w:tc>
          <w:tcPr>
            <w:tcW w:w="296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2</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和平路大院食堂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807280</w:t>
            </w:r>
          </w:p>
        </w:tc>
        <w:tc>
          <w:tcPr>
            <w:tcW w:w="296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3</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看守所大院食堂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1485840</w:t>
            </w:r>
          </w:p>
        </w:tc>
        <w:tc>
          <w:tcPr>
            <w:tcW w:w="296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4</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增江综合业务场所食堂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1060000</w:t>
            </w:r>
          </w:p>
        </w:tc>
        <w:tc>
          <w:tcPr>
            <w:tcW w:w="296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5</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朱村综合业务场所食堂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831120</w:t>
            </w:r>
          </w:p>
        </w:tc>
        <w:tc>
          <w:tcPr>
            <w:tcW w:w="296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6</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交警大队食堂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353760</w:t>
            </w:r>
          </w:p>
        </w:tc>
        <w:tc>
          <w:tcPr>
            <w:tcW w:w="296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7</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交警二中（荔城）队食堂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264960</w:t>
            </w:r>
          </w:p>
        </w:tc>
        <w:tc>
          <w:tcPr>
            <w:tcW w:w="296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8</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刑警技术中队食堂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314160</w:t>
            </w:r>
          </w:p>
        </w:tc>
        <w:tc>
          <w:tcPr>
            <w:tcW w:w="296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9</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警犬基地食堂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55440</w:t>
            </w:r>
          </w:p>
        </w:tc>
        <w:tc>
          <w:tcPr>
            <w:tcW w:w="296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10</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拘留所食堂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153120</w:t>
            </w:r>
          </w:p>
        </w:tc>
        <w:tc>
          <w:tcPr>
            <w:tcW w:w="296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11</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增江所食堂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288000</w:t>
            </w:r>
          </w:p>
        </w:tc>
        <w:tc>
          <w:tcPr>
            <w:tcW w:w="296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12</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荔园所食堂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181440</w:t>
            </w:r>
          </w:p>
        </w:tc>
        <w:tc>
          <w:tcPr>
            <w:tcW w:w="296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13</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富鹏所食堂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233280</w:t>
            </w:r>
          </w:p>
        </w:tc>
        <w:tc>
          <w:tcPr>
            <w:tcW w:w="296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14</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水上所食堂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100320</w:t>
            </w:r>
          </w:p>
        </w:tc>
        <w:tc>
          <w:tcPr>
            <w:tcW w:w="296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15</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西园所食堂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250560</w:t>
            </w:r>
          </w:p>
        </w:tc>
        <w:tc>
          <w:tcPr>
            <w:tcW w:w="296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16</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雁塔所食堂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236160</w:t>
            </w:r>
          </w:p>
        </w:tc>
        <w:tc>
          <w:tcPr>
            <w:tcW w:w="296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17</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交警六（派潭）中队食堂</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80640</w:t>
            </w:r>
          </w:p>
        </w:tc>
        <w:tc>
          <w:tcPr>
            <w:tcW w:w="29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18</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派潭所食堂</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184320</w:t>
            </w:r>
          </w:p>
        </w:tc>
        <w:tc>
          <w:tcPr>
            <w:tcW w:w="29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19</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b/>
                <w:bCs/>
                <w:color w:val="000000"/>
                <w:kern w:val="0"/>
                <w:sz w:val="24"/>
                <w:szCs w:val="24"/>
                <w:highlight w:val="none"/>
              </w:rPr>
            </w:pPr>
            <w:r>
              <w:rPr>
                <w:rFonts w:hint="eastAsia" w:ascii="仿宋" w:hAnsi="仿宋" w:eastAsia="仿宋" w:cs="宋体"/>
                <w:color w:val="000000"/>
                <w:kern w:val="0"/>
                <w:sz w:val="24"/>
                <w:szCs w:val="24"/>
                <w:highlight w:val="none"/>
              </w:rPr>
              <w:t>小楼所食堂</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b/>
                <w:bCs/>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158400</w:t>
            </w:r>
          </w:p>
        </w:tc>
        <w:tc>
          <w:tcPr>
            <w:tcW w:w="29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20</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b/>
                <w:bCs/>
                <w:color w:val="000000"/>
                <w:kern w:val="0"/>
                <w:sz w:val="24"/>
                <w:szCs w:val="24"/>
                <w:highlight w:val="none"/>
              </w:rPr>
            </w:pPr>
            <w:r>
              <w:rPr>
                <w:rFonts w:hint="eastAsia" w:ascii="仿宋" w:hAnsi="仿宋" w:eastAsia="仿宋" w:cs="宋体"/>
                <w:color w:val="000000"/>
                <w:kern w:val="0"/>
                <w:sz w:val="24"/>
                <w:szCs w:val="24"/>
                <w:highlight w:val="none"/>
              </w:rPr>
              <w:t>正果所食堂</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b/>
                <w:bCs/>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161280</w:t>
            </w:r>
          </w:p>
        </w:tc>
        <w:tc>
          <w:tcPr>
            <w:tcW w:w="29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合计（万）</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b/>
                <w:bCs/>
                <w:color w:val="000000"/>
                <w:kern w:val="0"/>
                <w:sz w:val="24"/>
                <w:szCs w:val="24"/>
                <w:highlight w:val="none"/>
                <w:lang w:val="en-US" w:eastAsia="zh-CN"/>
              </w:rPr>
            </w:pPr>
            <w:r>
              <w:rPr>
                <w:rFonts w:hint="eastAsia" w:ascii="仿宋" w:hAnsi="仿宋" w:eastAsia="仿宋" w:cs="宋体"/>
                <w:b/>
                <w:bCs/>
                <w:color w:val="000000"/>
                <w:kern w:val="0"/>
                <w:sz w:val="24"/>
                <w:szCs w:val="24"/>
                <w:highlight w:val="none"/>
                <w:lang w:val="en-US" w:eastAsia="zh-CN"/>
              </w:rPr>
              <w:t>10510800</w:t>
            </w:r>
          </w:p>
        </w:tc>
        <w:tc>
          <w:tcPr>
            <w:tcW w:w="29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据实结算</w:t>
            </w:r>
          </w:p>
        </w:tc>
      </w:tr>
    </w:tbl>
    <w:p>
      <w:pPr>
        <w:tabs>
          <w:tab w:val="left" w:pos="840"/>
        </w:tabs>
        <w:spacing w:line="520" w:lineRule="exact"/>
        <w:ind w:firstLine="480" w:firstLineChars="200"/>
        <w:rPr>
          <w:rFonts w:hint="eastAsia" w:ascii="宋体" w:hAnsi="宋体"/>
          <w:b/>
          <w:bCs w:val="0"/>
          <w:sz w:val="24"/>
          <w:szCs w:val="24"/>
          <w:highlight w:val="none"/>
          <w:lang w:eastAsia="zh-CN"/>
        </w:rPr>
      </w:pPr>
    </w:p>
    <w:p>
      <w:pPr>
        <w:tabs>
          <w:tab w:val="left" w:pos="840"/>
        </w:tabs>
        <w:spacing w:line="520" w:lineRule="exact"/>
        <w:ind w:firstLine="480" w:firstLineChars="200"/>
        <w:rPr>
          <w:rFonts w:hint="eastAsia" w:ascii="宋体" w:hAnsi="宋体"/>
          <w:b/>
          <w:bCs w:val="0"/>
          <w:sz w:val="24"/>
          <w:szCs w:val="24"/>
          <w:highlight w:val="none"/>
          <w:lang w:eastAsia="zh-CN"/>
        </w:rPr>
      </w:pPr>
    </w:p>
    <w:p>
      <w:pPr>
        <w:tabs>
          <w:tab w:val="left" w:pos="840"/>
        </w:tabs>
        <w:spacing w:line="520" w:lineRule="exact"/>
        <w:ind w:firstLine="1224" w:firstLineChars="600"/>
        <w:jc w:val="both"/>
        <w:rPr>
          <w:rFonts w:hint="eastAsia" w:ascii="宋体" w:hAnsi="宋体"/>
          <w:bCs/>
          <w:sz w:val="24"/>
          <w:szCs w:val="24"/>
          <w:highlight w:val="none"/>
          <w:lang w:val="en-US" w:eastAsia="zh-CN"/>
        </w:rPr>
      </w:pPr>
      <w:r>
        <w:rPr>
          <w:rFonts w:hint="eastAsia" w:ascii="宋体" w:hAnsi="宋体" w:eastAsia="宋体" w:cs="宋体"/>
          <w:spacing w:val="-3"/>
          <w:highlight w:val="none"/>
          <w:lang w:val="en-US" w:eastAsia="zh-CN"/>
        </w:rPr>
        <w:t>子包二（南部片区）预算金额人民币6,137,040元，包含饭堂24个。</w:t>
      </w:r>
    </w:p>
    <w:p>
      <w:pPr>
        <w:tabs>
          <w:tab w:val="left" w:pos="840"/>
        </w:tabs>
        <w:spacing w:line="520" w:lineRule="exact"/>
        <w:ind w:firstLine="480" w:firstLineChars="200"/>
        <w:jc w:val="center"/>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南</w:t>
      </w:r>
      <w:r>
        <w:rPr>
          <w:rFonts w:hint="eastAsia" w:ascii="宋体" w:hAnsi="宋体"/>
          <w:bCs/>
          <w:sz w:val="24"/>
          <w:szCs w:val="24"/>
          <w:highlight w:val="none"/>
          <w:lang w:eastAsia="zh-CN"/>
        </w:rPr>
        <w:t>部片区</w:t>
      </w:r>
      <w:r>
        <w:rPr>
          <w:rFonts w:hint="eastAsia" w:ascii="宋体" w:hAnsi="宋体"/>
          <w:bCs/>
          <w:sz w:val="24"/>
          <w:szCs w:val="24"/>
          <w:highlight w:val="none"/>
        </w:rPr>
        <w:t>饭堂情况表</w:t>
      </w:r>
    </w:p>
    <w:tbl>
      <w:tblPr>
        <w:tblStyle w:val="6"/>
        <w:tblW w:w="8747" w:type="dxa"/>
        <w:tblInd w:w="91" w:type="dxa"/>
        <w:tblLayout w:type="autofit"/>
        <w:tblCellMar>
          <w:top w:w="0" w:type="dxa"/>
          <w:left w:w="108" w:type="dxa"/>
          <w:bottom w:w="0" w:type="dxa"/>
          <w:right w:w="108" w:type="dxa"/>
        </w:tblCellMar>
      </w:tblPr>
      <w:tblGrid>
        <w:gridCol w:w="680"/>
        <w:gridCol w:w="2739"/>
        <w:gridCol w:w="2410"/>
        <w:gridCol w:w="2918"/>
      </w:tblGrid>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序号</w:t>
            </w:r>
          </w:p>
        </w:tc>
        <w:tc>
          <w:tcPr>
            <w:tcW w:w="27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lang w:eastAsia="zh-CN"/>
              </w:rPr>
              <w:t>饭</w:t>
            </w:r>
            <w:r>
              <w:rPr>
                <w:rFonts w:hint="eastAsia" w:ascii="仿宋" w:hAnsi="仿宋" w:eastAsia="仿宋" w:cs="宋体"/>
                <w:b/>
                <w:bCs/>
                <w:color w:val="000000"/>
                <w:kern w:val="0"/>
                <w:sz w:val="24"/>
                <w:szCs w:val="24"/>
                <w:highlight w:val="none"/>
              </w:rPr>
              <w:t>堂名称</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预算情况（元/年）</w:t>
            </w:r>
          </w:p>
        </w:tc>
        <w:tc>
          <w:tcPr>
            <w:tcW w:w="291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备注</w:t>
            </w:r>
          </w:p>
        </w:tc>
      </w:tr>
      <w:tr>
        <w:tblPrEx>
          <w:tblCellMar>
            <w:top w:w="0" w:type="dxa"/>
            <w:left w:w="108" w:type="dxa"/>
            <w:bottom w:w="0" w:type="dxa"/>
            <w:right w:w="108" w:type="dxa"/>
          </w:tblCellMar>
        </w:tblPrEx>
        <w:trPr>
          <w:trHeight w:val="454" w:hRule="atLeast"/>
        </w:trPr>
        <w:tc>
          <w:tcPr>
            <w:tcW w:w="680" w:type="dxa"/>
            <w:tcBorders>
              <w:top w:val="nil"/>
              <w:left w:val="single" w:color="auto" w:sz="4" w:space="0"/>
              <w:bottom w:val="nil"/>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eastAsia="zh-CN"/>
              </w:rPr>
            </w:pPr>
            <w:r>
              <w:rPr>
                <w:rFonts w:hint="eastAsia" w:ascii="仿宋" w:hAnsi="仿宋" w:eastAsia="仿宋" w:cs="宋体"/>
                <w:color w:val="000000"/>
                <w:kern w:val="0"/>
                <w:sz w:val="24"/>
                <w:szCs w:val="24"/>
                <w:highlight w:val="none"/>
                <w:lang w:val="en-US" w:eastAsia="zh-CN"/>
              </w:rPr>
              <w:t>1</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新塘警务中心食堂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622560</w:t>
            </w:r>
          </w:p>
        </w:tc>
        <w:tc>
          <w:tcPr>
            <w:tcW w:w="2918"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eastAsia="zh-CN"/>
              </w:rPr>
            </w:pPr>
            <w:r>
              <w:rPr>
                <w:rFonts w:hint="eastAsia" w:ascii="仿宋" w:hAnsi="仿宋" w:eastAsia="仿宋" w:cs="宋体"/>
                <w:color w:val="000000"/>
                <w:kern w:val="0"/>
                <w:sz w:val="24"/>
                <w:szCs w:val="24"/>
                <w:highlight w:val="none"/>
                <w:lang w:val="en-US" w:eastAsia="zh-CN"/>
              </w:rPr>
              <w:t>2</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群贤路大院食堂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324720</w:t>
            </w:r>
          </w:p>
        </w:tc>
        <w:tc>
          <w:tcPr>
            <w:tcW w:w="2918"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eastAsia="zh-CN"/>
              </w:rPr>
            </w:pPr>
            <w:r>
              <w:rPr>
                <w:rFonts w:hint="eastAsia" w:ascii="仿宋" w:hAnsi="仿宋" w:eastAsia="仿宋" w:cs="宋体"/>
                <w:color w:val="000000"/>
                <w:kern w:val="0"/>
                <w:sz w:val="24"/>
                <w:szCs w:val="24"/>
                <w:highlight w:val="none"/>
                <w:lang w:val="en-US" w:eastAsia="zh-CN"/>
              </w:rPr>
              <w:t>3</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交警三（新塘）中队食堂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374400</w:t>
            </w:r>
          </w:p>
        </w:tc>
        <w:tc>
          <w:tcPr>
            <w:tcW w:w="2918"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eastAsia="zh-CN"/>
              </w:rPr>
            </w:pPr>
            <w:r>
              <w:rPr>
                <w:rFonts w:hint="eastAsia" w:ascii="仿宋" w:hAnsi="仿宋" w:eastAsia="仿宋" w:cs="宋体"/>
                <w:color w:val="000000"/>
                <w:kern w:val="0"/>
                <w:sz w:val="24"/>
                <w:szCs w:val="24"/>
                <w:highlight w:val="none"/>
                <w:lang w:val="en-US" w:eastAsia="zh-CN"/>
              </w:rPr>
              <w:t>4</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交警五（石滩）中队食堂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123840</w:t>
            </w:r>
          </w:p>
        </w:tc>
        <w:tc>
          <w:tcPr>
            <w:tcW w:w="2918"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eastAsia="zh-CN"/>
              </w:rPr>
            </w:pPr>
            <w:r>
              <w:rPr>
                <w:rFonts w:hint="eastAsia" w:ascii="仿宋" w:hAnsi="仿宋" w:eastAsia="仿宋" w:cs="宋体"/>
                <w:color w:val="000000"/>
                <w:kern w:val="0"/>
                <w:sz w:val="24"/>
                <w:szCs w:val="24"/>
                <w:highlight w:val="none"/>
                <w:lang w:val="en-US" w:eastAsia="zh-CN"/>
              </w:rPr>
              <w:t>5</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highlight w:val="none"/>
              </w:rPr>
            </w:pPr>
            <w:r>
              <w:rPr>
                <w:rFonts w:hint="eastAsia" w:ascii="仿宋" w:hAnsi="仿宋" w:eastAsia="仿宋" w:cs="宋体"/>
                <w:color w:val="000000"/>
                <w:kern w:val="0"/>
                <w:sz w:val="24"/>
                <w:szCs w:val="24"/>
                <w:highlight w:val="none"/>
              </w:rPr>
              <w:t>交警七（永和）中队食堂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181440</w:t>
            </w:r>
          </w:p>
        </w:tc>
        <w:tc>
          <w:tcPr>
            <w:tcW w:w="2918"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6</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交警九（仙村）中队食堂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126720</w:t>
            </w:r>
          </w:p>
        </w:tc>
        <w:tc>
          <w:tcPr>
            <w:tcW w:w="2918"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7</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南香山所食堂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241920</w:t>
            </w:r>
          </w:p>
        </w:tc>
        <w:tc>
          <w:tcPr>
            <w:tcW w:w="2918"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50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8</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三江所食堂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164160</w:t>
            </w:r>
          </w:p>
        </w:tc>
        <w:tc>
          <w:tcPr>
            <w:tcW w:w="2918"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9</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沙庄所食堂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172800</w:t>
            </w:r>
          </w:p>
        </w:tc>
        <w:tc>
          <w:tcPr>
            <w:tcW w:w="2918"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10</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石滩所食堂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276480</w:t>
            </w:r>
          </w:p>
        </w:tc>
        <w:tc>
          <w:tcPr>
            <w:tcW w:w="2918"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11</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仙村所食堂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342720</w:t>
            </w:r>
          </w:p>
        </w:tc>
        <w:tc>
          <w:tcPr>
            <w:tcW w:w="2918"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12</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白石所食堂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224640</w:t>
            </w:r>
          </w:p>
        </w:tc>
        <w:tc>
          <w:tcPr>
            <w:tcW w:w="2918"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13</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大敦所食堂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290880</w:t>
            </w:r>
          </w:p>
        </w:tc>
        <w:tc>
          <w:tcPr>
            <w:tcW w:w="2918"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14</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甘东所食堂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207360</w:t>
            </w:r>
          </w:p>
        </w:tc>
        <w:tc>
          <w:tcPr>
            <w:tcW w:w="2918"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15</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宁西所食堂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181440</w:t>
            </w:r>
          </w:p>
        </w:tc>
        <w:tc>
          <w:tcPr>
            <w:tcW w:w="2918"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16</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沙村所食堂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383040</w:t>
            </w:r>
          </w:p>
        </w:tc>
        <w:tc>
          <w:tcPr>
            <w:tcW w:w="2918"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17</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沙埔所食堂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192960</w:t>
            </w:r>
          </w:p>
        </w:tc>
        <w:tc>
          <w:tcPr>
            <w:tcW w:w="2918"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18</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西宁所食堂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244800</w:t>
            </w:r>
          </w:p>
        </w:tc>
        <w:tc>
          <w:tcPr>
            <w:tcW w:w="2918"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19</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永宁所食堂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316800</w:t>
            </w:r>
          </w:p>
        </w:tc>
        <w:tc>
          <w:tcPr>
            <w:tcW w:w="2918"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20</w:t>
            </w:r>
          </w:p>
        </w:tc>
        <w:tc>
          <w:tcPr>
            <w:tcW w:w="27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永新所食堂</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259200</w:t>
            </w:r>
          </w:p>
        </w:tc>
        <w:tc>
          <w:tcPr>
            <w:tcW w:w="2918"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21</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交警四（中新）中队食堂</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rPr>
            </w:pPr>
            <w:r>
              <w:rPr>
                <w:rFonts w:hint="eastAsia" w:ascii="仿宋" w:hAnsi="仿宋" w:eastAsia="仿宋" w:cs="宋体"/>
                <w:color w:val="000000"/>
                <w:kern w:val="0"/>
                <w:sz w:val="24"/>
                <w:szCs w:val="24"/>
                <w:highlight w:val="none"/>
                <w:lang w:val="en-US" w:eastAsia="zh-CN"/>
              </w:rPr>
              <w:t>158400</w:t>
            </w:r>
          </w:p>
        </w:tc>
        <w:tc>
          <w:tcPr>
            <w:tcW w:w="29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22</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b/>
                <w:bCs/>
                <w:color w:val="000000"/>
                <w:kern w:val="0"/>
                <w:sz w:val="24"/>
                <w:szCs w:val="24"/>
                <w:highlight w:val="none"/>
              </w:rPr>
            </w:pPr>
            <w:r>
              <w:rPr>
                <w:rFonts w:hint="eastAsia" w:ascii="仿宋" w:hAnsi="仿宋" w:eastAsia="仿宋" w:cs="宋体"/>
                <w:color w:val="000000"/>
                <w:kern w:val="0"/>
                <w:sz w:val="24"/>
                <w:szCs w:val="24"/>
                <w:highlight w:val="none"/>
              </w:rPr>
              <w:t>福和所食堂</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b/>
                <w:bCs/>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158400</w:t>
            </w:r>
          </w:p>
        </w:tc>
        <w:tc>
          <w:tcPr>
            <w:tcW w:w="29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rPr>
          <w:trHeight w:val="454"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23</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b/>
                <w:bCs/>
                <w:color w:val="000000"/>
                <w:kern w:val="0"/>
                <w:sz w:val="24"/>
                <w:szCs w:val="24"/>
                <w:highlight w:val="none"/>
              </w:rPr>
            </w:pPr>
            <w:r>
              <w:rPr>
                <w:rFonts w:hint="eastAsia" w:ascii="仿宋" w:hAnsi="仿宋" w:eastAsia="仿宋" w:cs="宋体"/>
                <w:color w:val="000000"/>
                <w:kern w:val="0"/>
                <w:sz w:val="24"/>
                <w:szCs w:val="24"/>
                <w:highlight w:val="none"/>
              </w:rPr>
              <w:t>中新所食堂</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b/>
                <w:bCs/>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262080</w:t>
            </w:r>
          </w:p>
        </w:tc>
        <w:tc>
          <w:tcPr>
            <w:tcW w:w="29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24</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b/>
                <w:bCs/>
                <w:color w:val="000000"/>
                <w:kern w:val="0"/>
                <w:sz w:val="24"/>
                <w:szCs w:val="24"/>
                <w:highlight w:val="none"/>
              </w:rPr>
            </w:pPr>
            <w:r>
              <w:rPr>
                <w:rFonts w:hint="eastAsia" w:ascii="仿宋" w:hAnsi="仿宋" w:eastAsia="仿宋" w:cs="宋体"/>
                <w:color w:val="000000"/>
                <w:kern w:val="0"/>
                <w:sz w:val="24"/>
                <w:szCs w:val="24"/>
                <w:highlight w:val="none"/>
              </w:rPr>
              <w:t>朱村所食堂</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b/>
                <w:bCs/>
                <w:color w:val="000000"/>
                <w:kern w:val="0"/>
                <w:sz w:val="24"/>
                <w:szCs w:val="24"/>
                <w:highlight w:val="none"/>
                <w:lang w:val="en-US" w:eastAsia="zh-CN"/>
              </w:rPr>
            </w:pPr>
            <w:r>
              <w:rPr>
                <w:rFonts w:hint="eastAsia" w:ascii="仿宋" w:hAnsi="仿宋" w:eastAsia="仿宋" w:cs="宋体"/>
                <w:b w:val="0"/>
                <w:bCs w:val="0"/>
                <w:color w:val="000000"/>
                <w:kern w:val="0"/>
                <w:sz w:val="24"/>
                <w:szCs w:val="24"/>
                <w:highlight w:val="none"/>
                <w:lang w:val="en-US" w:eastAsia="zh-CN"/>
              </w:rPr>
              <w:t>305280</w:t>
            </w:r>
          </w:p>
        </w:tc>
        <w:tc>
          <w:tcPr>
            <w:tcW w:w="29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费用预算以实际供应为准</w:t>
            </w:r>
          </w:p>
        </w:tc>
      </w:tr>
      <w:tr>
        <w:tblPrEx>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highlight w:val="none"/>
              </w:rPr>
            </w:pP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合计（元）</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b/>
                <w:bCs/>
                <w:color w:val="000000"/>
                <w:kern w:val="0"/>
                <w:sz w:val="24"/>
                <w:szCs w:val="24"/>
                <w:highlight w:val="none"/>
                <w:lang w:val="en-US" w:eastAsia="zh-CN"/>
              </w:rPr>
            </w:pPr>
            <w:r>
              <w:rPr>
                <w:rFonts w:hint="eastAsia" w:ascii="仿宋" w:hAnsi="仿宋" w:eastAsia="仿宋" w:cs="宋体"/>
                <w:b/>
                <w:bCs/>
                <w:color w:val="000000"/>
                <w:kern w:val="0"/>
                <w:sz w:val="24"/>
                <w:szCs w:val="24"/>
                <w:highlight w:val="none"/>
                <w:lang w:val="en-US" w:eastAsia="zh-CN"/>
              </w:rPr>
              <w:t>6137040</w:t>
            </w:r>
          </w:p>
        </w:tc>
        <w:tc>
          <w:tcPr>
            <w:tcW w:w="29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据实结算</w:t>
            </w:r>
          </w:p>
        </w:tc>
      </w:tr>
    </w:tbl>
    <w:p>
      <w:pPr>
        <w:spacing w:before="1" w:line="360" w:lineRule="auto"/>
        <w:ind w:firstLine="22"/>
        <w:rPr>
          <w:rFonts w:ascii="宋体" w:hAnsi="宋体" w:eastAsia="宋体" w:cs="宋体"/>
          <w:spacing w:val="-3"/>
          <w:highlight w:val="none"/>
        </w:rPr>
      </w:pPr>
    </w:p>
    <w:p>
      <w:pPr>
        <w:spacing w:before="90" w:line="480" w:lineRule="auto"/>
        <w:rPr>
          <w:rFonts w:ascii="宋体" w:hAnsi="宋体" w:eastAsia="宋体" w:cs="宋体"/>
          <w:highlight w:val="none"/>
        </w:rPr>
      </w:pPr>
      <w:r>
        <w:rPr>
          <w:rFonts w:hint="eastAsia" w:ascii="宋体" w:hAnsi="宋体" w:eastAsia="宋体" w:cs="宋体"/>
          <w:highlight w:val="none"/>
        </w:rPr>
        <w:t>采购包1（</w:t>
      </w:r>
      <w:r>
        <w:rPr>
          <w:rFonts w:ascii="宋体" w:cs="宋体"/>
          <w:bCs/>
          <w:sz w:val="24"/>
          <w:szCs w:val="24"/>
          <w:highlight w:val="none"/>
        </w:rPr>
        <w:t>广州市公安局增城区分局202</w:t>
      </w:r>
      <w:r>
        <w:rPr>
          <w:rFonts w:hint="eastAsia" w:ascii="宋体" w:cs="宋体"/>
          <w:bCs/>
          <w:sz w:val="24"/>
          <w:szCs w:val="24"/>
          <w:highlight w:val="none"/>
          <w:lang w:val="en-US" w:eastAsia="zh-CN"/>
        </w:rPr>
        <w:t>3</w:t>
      </w:r>
      <w:r>
        <w:rPr>
          <w:rFonts w:ascii="宋体" w:cs="宋体"/>
          <w:bCs/>
          <w:sz w:val="24"/>
          <w:szCs w:val="24"/>
          <w:highlight w:val="none"/>
        </w:rPr>
        <w:t>年饭堂食材采购</w:t>
      </w:r>
      <w:r>
        <w:rPr>
          <w:rFonts w:hint="eastAsia" w:ascii="宋体" w:eastAsia="宋体" w:cs="宋体"/>
          <w:bCs/>
          <w:sz w:val="24"/>
          <w:szCs w:val="24"/>
          <w:highlight w:val="none"/>
          <w:lang w:val="en-US" w:eastAsia="zh-CN"/>
        </w:rPr>
        <w:t>北部片区</w:t>
      </w:r>
      <w:r>
        <w:rPr>
          <w:rFonts w:hint="eastAsia" w:ascii="宋体" w:hAnsi="宋体" w:eastAsia="宋体" w:cs="宋体"/>
          <w:spacing w:val="-44"/>
          <w:highlight w:val="none"/>
        </w:rPr>
        <w:t>）：</w:t>
      </w:r>
    </w:p>
    <w:p>
      <w:pPr>
        <w:spacing w:line="480" w:lineRule="auto"/>
        <w:rPr>
          <w:rFonts w:ascii="宋体" w:hAnsi="宋体" w:eastAsia="宋体" w:cs="宋体"/>
          <w:highlight w:val="none"/>
        </w:rPr>
      </w:pPr>
      <w:r>
        <w:rPr>
          <w:rFonts w:hint="eastAsia" w:ascii="宋体" w:hAnsi="宋体" w:eastAsia="宋体" w:cs="宋体"/>
          <w:highlight w:val="none"/>
        </w:rPr>
        <w:t>1.主要商务要求</w:t>
      </w:r>
    </w:p>
    <w:tbl>
      <w:tblPr>
        <w:tblStyle w:val="8"/>
        <w:tblW w:w="5669" w:type="pct"/>
        <w:tblInd w:w="-10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31"/>
        <w:gridCol w:w="78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812" w:type="pct"/>
            <w:vAlign w:val="center"/>
          </w:tcPr>
          <w:p>
            <w:pPr>
              <w:spacing w:line="480" w:lineRule="auto"/>
              <w:jc w:val="both"/>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标的的提供时间</w:t>
            </w:r>
          </w:p>
        </w:tc>
        <w:tc>
          <w:tcPr>
            <w:tcW w:w="4187" w:type="pct"/>
          </w:tcPr>
          <w:p>
            <w:pPr>
              <w:rPr>
                <w:rFonts w:hint="eastAsia" w:eastAsia="宋体"/>
                <w:color w:val="auto"/>
                <w:highlight w:val="none"/>
                <w:lang w:val="en-US" w:eastAsia="zh-CN"/>
              </w:rPr>
            </w:pPr>
            <w:r>
              <w:rPr>
                <w:rFonts w:hint="eastAsia" w:eastAsia="宋体"/>
                <w:color w:val="auto"/>
                <w:highlight w:val="none"/>
                <w:lang w:val="en-US" w:eastAsia="zh-CN"/>
              </w:rPr>
              <w:t xml:space="preserve"> </w:t>
            </w:r>
            <w:r>
              <w:rPr>
                <w:rFonts w:hint="eastAsia"/>
                <w:color w:val="auto"/>
                <w:highlight w:val="none"/>
              </w:rPr>
              <w:t>自签订合同之日起12个月或采购费用累计达到预算金额</w:t>
            </w:r>
            <w:r>
              <w:rPr>
                <w:rFonts w:hint="eastAsia" w:ascii="宋体" w:hAnsi="宋体" w:eastAsia="宋体" w:cs="宋体"/>
                <w:spacing w:val="-3"/>
                <w:highlight w:val="none"/>
                <w:lang w:val="en-US" w:eastAsia="zh-CN"/>
              </w:rPr>
              <w:t>人民币10,510,800元</w:t>
            </w:r>
            <w:r>
              <w:rPr>
                <w:rFonts w:hint="eastAsia"/>
                <w:color w:val="auto"/>
                <w:highlight w:val="none"/>
              </w:rPr>
              <w:t>，以先到者为期限，本合同随之终止</w:t>
            </w:r>
            <w:r>
              <w:rPr>
                <w:rFonts w:hint="eastAsia"/>
                <w:b w:val="0"/>
                <w:bCs/>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812" w:type="pct"/>
            <w:vAlign w:val="center"/>
          </w:tcPr>
          <w:p>
            <w:pPr>
              <w:spacing w:line="480" w:lineRule="auto"/>
              <w:jc w:val="center"/>
              <w:rPr>
                <w:rFonts w:ascii="宋体" w:hAnsi="宋体" w:eastAsia="宋体" w:cs="宋体"/>
                <w:color w:val="auto"/>
                <w:highlight w:val="none"/>
              </w:rPr>
            </w:pPr>
            <w:r>
              <w:rPr>
                <w:rFonts w:hint="eastAsia" w:ascii="宋体" w:hAnsi="宋体" w:eastAsia="宋体" w:cs="宋体"/>
                <w:color w:val="auto"/>
                <w:highlight w:val="none"/>
              </w:rPr>
              <w:t>标的提供的地点</w:t>
            </w:r>
          </w:p>
        </w:tc>
        <w:tc>
          <w:tcPr>
            <w:tcW w:w="4187" w:type="pct"/>
          </w:tcPr>
          <w:p>
            <w:pPr>
              <w:rPr>
                <w:color w:val="auto"/>
                <w:highlight w:val="none"/>
              </w:rPr>
            </w:pPr>
            <w:r>
              <w:rPr>
                <w:rFonts w:hint="eastAsia"/>
                <w:color w:val="auto"/>
                <w:highlight w:val="none"/>
              </w:rPr>
              <w:t>广东省广州市，</w:t>
            </w:r>
            <w:r>
              <w:rPr>
                <w:rFonts w:hint="eastAsia"/>
                <w:color w:val="auto"/>
                <w:highlight w:val="none"/>
              </w:rPr>
              <w:t>采购人下属各单位共</w:t>
            </w:r>
            <w:r>
              <w:rPr>
                <w:rFonts w:hint="eastAsia" w:eastAsia="宋体"/>
                <w:color w:val="auto"/>
                <w:highlight w:val="none"/>
                <w:lang w:val="en-US" w:eastAsia="zh-CN"/>
              </w:rPr>
              <w:t>20</w:t>
            </w:r>
            <w:r>
              <w:rPr>
                <w:rFonts w:hint="eastAsia"/>
                <w:color w:val="auto"/>
                <w:highlight w:val="none"/>
              </w:rPr>
              <w:t>个饭堂。供应地点需根据采购人需求同时或先后配送食材，具体按订单通知执行。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812" w:type="pct"/>
            <w:vAlign w:val="center"/>
          </w:tcPr>
          <w:p>
            <w:pPr>
              <w:spacing w:line="480" w:lineRule="auto"/>
              <w:jc w:val="center"/>
              <w:rPr>
                <w:rFonts w:ascii="宋体" w:hAnsi="宋体" w:eastAsia="宋体" w:cs="宋体"/>
                <w:color w:val="auto"/>
                <w:highlight w:val="none"/>
              </w:rPr>
            </w:pPr>
            <w:r>
              <w:rPr>
                <w:rFonts w:hint="eastAsia" w:ascii="宋体" w:hAnsi="宋体" w:eastAsia="宋体" w:cs="宋体"/>
                <w:color w:val="auto"/>
                <w:highlight w:val="none"/>
              </w:rPr>
              <w:t>投标有效期</w:t>
            </w:r>
          </w:p>
        </w:tc>
        <w:tc>
          <w:tcPr>
            <w:tcW w:w="4187" w:type="pct"/>
          </w:tcPr>
          <w:p>
            <w:pPr>
              <w:spacing w:line="480" w:lineRule="auto"/>
              <w:rPr>
                <w:rFonts w:ascii="宋体" w:hAnsi="宋体" w:eastAsia="宋体" w:cs="宋体"/>
                <w:color w:val="auto"/>
                <w:highlight w:val="none"/>
              </w:rPr>
            </w:pPr>
            <w:r>
              <w:rPr>
                <w:rFonts w:hint="eastAsia" w:ascii="宋体" w:hAnsi="宋体" w:eastAsia="宋体" w:cs="宋体"/>
                <w:color w:val="auto"/>
                <w:highlight w:val="none"/>
              </w:rPr>
              <w:t>从提交投标（响应）文件的截止之日起90日历天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trPr>
        <w:tc>
          <w:tcPr>
            <w:tcW w:w="812" w:type="pct"/>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付款方式</w:t>
            </w:r>
          </w:p>
        </w:tc>
        <w:tc>
          <w:tcPr>
            <w:tcW w:w="4187" w:type="pct"/>
          </w:tcPr>
          <w:p>
            <w:pPr>
              <w:pStyle w:val="9"/>
              <w:adjustRightInd w:val="0"/>
              <w:snapToGrid w:val="0"/>
              <w:ind w:left="100"/>
              <w:rPr>
                <w:rFonts w:hint="eastAsia"/>
                <w:b w:val="0"/>
                <w:bCs/>
                <w:color w:val="auto"/>
                <w:sz w:val="24"/>
                <w:szCs w:val="24"/>
                <w:highlight w:val="none"/>
              </w:rPr>
            </w:pPr>
            <w:r>
              <w:rPr>
                <w:rFonts w:hint="eastAsia"/>
                <w:b w:val="0"/>
                <w:bCs/>
                <w:color w:val="auto"/>
                <w:sz w:val="24"/>
                <w:szCs w:val="24"/>
                <w:highlight w:val="none"/>
              </w:rPr>
              <w:t>1期：</w:t>
            </w:r>
          </w:p>
          <w:p>
            <w:pPr>
              <w:pStyle w:val="9"/>
              <w:adjustRightInd w:val="0"/>
              <w:snapToGrid w:val="0"/>
              <w:ind w:left="100"/>
              <w:rPr>
                <w:rFonts w:hint="default" w:ascii="Arial" w:hAnsi="Arial" w:eastAsia="Arial" w:cs="Arial"/>
                <w:b w:val="0"/>
                <w:smallCaps w:val="0"/>
                <w:snapToGrid w:val="0"/>
                <w:color w:val="auto"/>
                <w:sz w:val="21"/>
                <w:szCs w:val="21"/>
                <w:highlight w:val="none"/>
                <w:lang w:val="en-US" w:eastAsia="zh-CN" w:bidi="ar-SA"/>
              </w:rPr>
            </w:pPr>
            <w:r>
              <w:rPr>
                <w:rFonts w:hint="eastAsia" w:ascii="Arial" w:hAnsi="Arial" w:eastAsia="Arial" w:cs="Arial"/>
                <w:b w:val="0"/>
                <w:smallCaps w:val="0"/>
                <w:snapToGrid w:val="0"/>
                <w:color w:val="auto"/>
                <w:sz w:val="21"/>
                <w:szCs w:val="21"/>
                <w:highlight w:val="none"/>
                <w:lang w:val="en-US" w:eastAsia="zh-CN" w:bidi="ar-SA"/>
              </w:rPr>
              <w:t>（1）自合同签订且财政拨款到位之日起十天内支付合同总价的30%作为项目预付款。</w:t>
            </w:r>
          </w:p>
          <w:p>
            <w:pPr>
              <w:pStyle w:val="9"/>
              <w:adjustRightInd w:val="0"/>
              <w:snapToGrid w:val="0"/>
              <w:ind w:left="100"/>
              <w:rPr>
                <w:rFonts w:hint="eastAsia" w:ascii="Arial" w:hAnsi="Arial" w:eastAsia="Arial" w:cs="Arial"/>
                <w:b w:val="0"/>
                <w:smallCaps w:val="0"/>
                <w:snapToGrid w:val="0"/>
                <w:color w:val="auto"/>
                <w:sz w:val="21"/>
                <w:szCs w:val="21"/>
                <w:highlight w:val="none"/>
                <w:lang w:val="en-US" w:eastAsia="zh-CN" w:bidi="ar-SA"/>
              </w:rPr>
            </w:pPr>
            <w:r>
              <w:rPr>
                <w:rFonts w:hint="eastAsia" w:ascii="Arial" w:hAnsi="Arial" w:eastAsia="Arial" w:cs="Arial"/>
                <w:b w:val="0"/>
                <w:smallCaps w:val="0"/>
                <w:snapToGrid w:val="0"/>
                <w:color w:val="auto"/>
                <w:sz w:val="21"/>
                <w:szCs w:val="21"/>
                <w:highlight w:val="none"/>
                <w:lang w:val="en-US" w:eastAsia="zh-CN" w:bidi="ar-SA"/>
              </w:rPr>
              <w:t>（2）由采购人每月结算一次，结算时，必须凭采购人出具的验收合格意见书（表单）方可办理相关结算手续。</w:t>
            </w:r>
          </w:p>
          <w:p>
            <w:pPr>
              <w:pStyle w:val="9"/>
              <w:adjustRightInd w:val="0"/>
              <w:snapToGrid w:val="0"/>
              <w:ind w:left="100"/>
              <w:rPr>
                <w:rFonts w:hint="eastAsia" w:ascii="Arial" w:hAnsi="Arial" w:eastAsia="Arial" w:cs="Arial"/>
                <w:b w:val="0"/>
                <w:smallCaps w:val="0"/>
                <w:snapToGrid w:val="0"/>
                <w:color w:val="auto"/>
                <w:sz w:val="21"/>
                <w:szCs w:val="21"/>
                <w:highlight w:val="none"/>
                <w:lang w:val="en-US" w:eastAsia="zh-CN" w:bidi="ar-SA"/>
              </w:rPr>
            </w:pPr>
            <w:r>
              <w:rPr>
                <w:rFonts w:hint="eastAsia" w:ascii="Arial" w:hAnsi="Arial" w:eastAsia="Arial" w:cs="Arial"/>
                <w:b w:val="0"/>
                <w:smallCaps w:val="0"/>
                <w:snapToGrid w:val="0"/>
                <w:color w:val="auto"/>
                <w:sz w:val="21"/>
                <w:szCs w:val="21"/>
                <w:highlight w:val="none"/>
                <w:lang w:val="en-US" w:eastAsia="zh-CN" w:bidi="ar-SA"/>
              </w:rPr>
              <w:t>（3）中标人每天按照采购人验收的实际数量和双方规定价格开票，中标人须开具国家正式发票。结算时需扣除预付款的金额，若第一个月的应付款项不够抵扣预付款时，则累计至下个月，直至扣款完成。</w:t>
            </w:r>
          </w:p>
          <w:p>
            <w:pPr>
              <w:pStyle w:val="9"/>
              <w:adjustRightInd w:val="0"/>
              <w:snapToGrid w:val="0"/>
              <w:ind w:firstLine="420" w:firstLineChars="200"/>
              <w:rPr>
                <w:rFonts w:hint="eastAsia" w:ascii="Arial" w:hAnsi="Arial" w:eastAsia="Arial" w:cs="Arial"/>
                <w:b w:val="0"/>
                <w:smallCaps w:val="0"/>
                <w:snapToGrid w:val="0"/>
                <w:color w:val="auto"/>
                <w:sz w:val="21"/>
                <w:szCs w:val="21"/>
                <w:highlight w:val="none"/>
                <w:lang w:val="en-US" w:eastAsia="zh-CN" w:bidi="ar-SA"/>
              </w:rPr>
            </w:pPr>
            <w:r>
              <w:rPr>
                <w:rFonts w:hint="eastAsia" w:ascii="Arial" w:hAnsi="Arial" w:eastAsia="Arial" w:cs="Arial"/>
                <w:b w:val="0"/>
                <w:smallCaps w:val="0"/>
                <w:snapToGrid w:val="0"/>
                <w:color w:val="auto"/>
                <w:sz w:val="21"/>
                <w:szCs w:val="21"/>
                <w:highlight w:val="none"/>
                <w:lang w:val="en-US" w:eastAsia="zh-CN" w:bidi="ar-SA"/>
              </w:rPr>
              <w:t>（4）双方对当月供应金额核对无误后，由采购人依据相关的财政支付程序向中标人付款。鉴于采购人使用的是财政资金，采购人按期办理财政支付手续的，视为采购人已按约支付。因中标人提供的发票不真实、不合法给采购人造成的一切损失及风险，均由中标人承担。</w:t>
            </w:r>
          </w:p>
          <w:p>
            <w:pPr>
              <w:pStyle w:val="9"/>
              <w:adjustRightInd w:val="0"/>
              <w:snapToGrid w:val="0"/>
              <w:ind w:left="100"/>
              <w:rPr>
                <w:rFonts w:hint="eastAsia" w:ascii="Arial" w:hAnsi="Arial" w:eastAsia="Arial" w:cs="Arial"/>
                <w:b w:val="0"/>
                <w:smallCaps w:val="0"/>
                <w:snapToGrid w:val="0"/>
                <w:color w:val="auto"/>
                <w:sz w:val="21"/>
                <w:szCs w:val="21"/>
                <w:highlight w:val="none"/>
                <w:lang w:val="en-US" w:eastAsia="zh-CN" w:bidi="ar-SA"/>
              </w:rPr>
            </w:pPr>
            <w:r>
              <w:rPr>
                <w:rFonts w:hint="eastAsia" w:ascii="Arial" w:hAnsi="Arial" w:eastAsia="Arial" w:cs="Arial"/>
                <w:b w:val="0"/>
                <w:smallCaps w:val="0"/>
                <w:snapToGrid w:val="0"/>
                <w:color w:val="auto"/>
                <w:sz w:val="21"/>
                <w:szCs w:val="21"/>
                <w:highlight w:val="none"/>
                <w:lang w:val="en-US" w:eastAsia="zh-CN" w:bidi="ar-SA"/>
              </w:rPr>
              <w:t>（4）中标人每月5日前必须提供上月配送结算清单送采购人核对，每月10日前采购人依照对账结果一次性支付上月货款。</w:t>
            </w:r>
          </w:p>
          <w:p>
            <w:pPr>
              <w:pStyle w:val="9"/>
              <w:adjustRightInd w:val="0"/>
              <w:snapToGrid w:val="0"/>
              <w:ind w:left="100"/>
              <w:rPr>
                <w:rFonts w:hint="eastAsia" w:ascii="Arial" w:hAnsi="Arial" w:eastAsia="Arial" w:cs="Arial"/>
                <w:b w:val="0"/>
                <w:smallCaps w:val="0"/>
                <w:snapToGrid w:val="0"/>
                <w:color w:val="auto"/>
                <w:sz w:val="21"/>
                <w:szCs w:val="21"/>
                <w:highlight w:val="none"/>
                <w:lang w:val="en-US" w:eastAsia="zh-CN" w:bidi="ar-SA"/>
              </w:rPr>
            </w:pPr>
            <w:r>
              <w:rPr>
                <w:rFonts w:hint="eastAsia" w:ascii="Arial" w:hAnsi="Arial" w:eastAsia="Arial" w:cs="Arial"/>
                <w:b w:val="0"/>
                <w:smallCaps w:val="0"/>
                <w:snapToGrid w:val="0"/>
                <w:color w:val="auto"/>
                <w:sz w:val="21"/>
                <w:szCs w:val="21"/>
                <w:highlight w:val="none"/>
                <w:lang w:val="en-US" w:eastAsia="zh-CN" w:bidi="ar-SA"/>
              </w:rPr>
              <w:t>（5）付款违约责任：采购人逾期支付合同款项的，除应当支付合同款项外，还应当每日按合同总价的1‰向中标人偿付违约金，但因中标人自身原因导致无法及时支付的除外。</w:t>
            </w:r>
          </w:p>
          <w:p>
            <w:pPr>
              <w:pStyle w:val="9"/>
              <w:adjustRightInd w:val="0"/>
              <w:snapToGrid w:val="0"/>
              <w:ind w:left="100"/>
              <w:rPr>
                <w:rFonts w:hint="eastAsia"/>
                <w:b w:val="0"/>
                <w:color w:val="auto"/>
                <w:sz w:val="24"/>
                <w:highlight w:val="none"/>
                <w:lang w:val="en-US"/>
              </w:rPr>
            </w:pPr>
          </w:p>
          <w:tbl>
            <w:tblPr>
              <w:tblStyle w:val="6"/>
              <w:tblW w:w="5000" w:type="pct"/>
              <w:jc w:val="center"/>
              <w:tblLayout w:type="autofit"/>
              <w:tblCellMar>
                <w:top w:w="0" w:type="dxa"/>
                <w:left w:w="108" w:type="dxa"/>
                <w:bottom w:w="0" w:type="dxa"/>
                <w:right w:w="108" w:type="dxa"/>
              </w:tblCellMar>
            </w:tblPr>
            <w:tblGrid>
              <w:gridCol w:w="1380"/>
              <w:gridCol w:w="2045"/>
              <w:gridCol w:w="4463"/>
            </w:tblGrid>
            <w:tr>
              <w:tblPrEx>
                <w:tblCellMar>
                  <w:top w:w="0" w:type="dxa"/>
                  <w:left w:w="108" w:type="dxa"/>
                  <w:bottom w:w="0" w:type="dxa"/>
                  <w:right w:w="108" w:type="dxa"/>
                </w:tblCellMar>
              </w:tblPrEx>
              <w:trPr>
                <w:trHeight w:val="342"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4"/>
                      <w:highlight w:val="none"/>
                    </w:rPr>
                  </w:pPr>
                  <w:r>
                    <w:rPr>
                      <w:rFonts w:hint="eastAsia"/>
                      <w:b w:val="0"/>
                      <w:bCs/>
                      <w:color w:val="auto"/>
                      <w:sz w:val="24"/>
                      <w:szCs w:val="24"/>
                      <w:highlight w:val="none"/>
                    </w:rPr>
                    <w:t>验收合格意见书（表单）</w:t>
                  </w:r>
                </w:p>
              </w:tc>
            </w:tr>
            <w:tr>
              <w:tblPrEx>
                <w:tblCellMar>
                  <w:top w:w="0" w:type="dxa"/>
                  <w:left w:w="108" w:type="dxa"/>
                  <w:bottom w:w="0" w:type="dxa"/>
                  <w:right w:w="108" w:type="dxa"/>
                </w:tblCellMar>
              </w:tblPrEx>
              <w:trPr>
                <w:trHeight w:val="447"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widowControl/>
                    <w:ind w:firstLine="210" w:firstLineChars="100"/>
                    <w:jc w:val="left"/>
                    <w:rPr>
                      <w:rFonts w:hint="eastAsia" w:ascii="宋体" w:hAnsi="宋体" w:cs="宋体"/>
                      <w:color w:val="auto"/>
                      <w:szCs w:val="24"/>
                      <w:highlight w:val="none"/>
                    </w:rPr>
                  </w:pPr>
                  <w:r>
                    <w:rPr>
                      <w:rFonts w:hint="eastAsia" w:ascii="宋体" w:hAnsi="宋体" w:cs="宋体"/>
                      <w:color w:val="auto"/>
                      <w:szCs w:val="24"/>
                      <w:highlight w:val="none"/>
                    </w:rPr>
                    <w:t>供货</w:t>
                  </w:r>
                  <w:r>
                    <w:rPr>
                      <w:rFonts w:hint="eastAsia" w:ascii="宋体" w:hAnsi="宋体" w:cs="宋体"/>
                      <w:color w:val="auto"/>
                      <w:szCs w:val="24"/>
                      <w:highlight w:val="none"/>
                      <w:lang w:val="en-US" w:eastAsia="zh-CN"/>
                    </w:rPr>
                    <w:t>月份</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w:t>
                  </w:r>
                </w:p>
              </w:tc>
            </w:tr>
            <w:tr>
              <w:tblPrEx>
                <w:tblCellMar>
                  <w:top w:w="0" w:type="dxa"/>
                  <w:left w:w="108" w:type="dxa"/>
                  <w:bottom w:w="0" w:type="dxa"/>
                  <w:right w:w="108" w:type="dxa"/>
                </w:tblCellMar>
              </w:tblPrEx>
              <w:trPr>
                <w:trHeight w:val="547" w:hRule="atLeast"/>
                <w:jc w:val="center"/>
              </w:trPr>
              <w:tc>
                <w:tcPr>
                  <w:tcW w:w="875"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szCs w:val="24"/>
                      <w:highlight w:val="none"/>
                    </w:rPr>
                  </w:pPr>
                  <w:r>
                    <w:rPr>
                      <w:rFonts w:hint="eastAsia" w:ascii="宋体" w:hAnsi="宋体" w:cs="宋体"/>
                      <w:color w:val="auto"/>
                      <w:szCs w:val="24"/>
                      <w:highlight w:val="none"/>
                    </w:rPr>
                    <w:t>供货清单</w:t>
                  </w:r>
                </w:p>
              </w:tc>
              <w:tc>
                <w:tcPr>
                  <w:tcW w:w="4124" w:type="pct"/>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szCs w:val="24"/>
                      <w:highlight w:val="none"/>
                    </w:rPr>
                  </w:pPr>
                  <w:r>
                    <w:rPr>
                      <w:rFonts w:hint="eastAsia" w:ascii="宋体" w:hAnsi="宋体" w:cs="宋体"/>
                      <w:color w:val="auto"/>
                      <w:szCs w:val="24"/>
                      <w:highlight w:val="none"/>
                    </w:rPr>
                    <w:t>供货清单（另附）</w:t>
                  </w:r>
                </w:p>
              </w:tc>
            </w:tr>
            <w:tr>
              <w:tblPrEx>
                <w:tblCellMar>
                  <w:top w:w="0" w:type="dxa"/>
                  <w:left w:w="108" w:type="dxa"/>
                  <w:bottom w:w="0" w:type="dxa"/>
                  <w:right w:w="108" w:type="dxa"/>
                </w:tblCellMar>
              </w:tblPrEx>
              <w:trPr>
                <w:trHeight w:val="2163" w:hRule="atLeast"/>
                <w:jc w:val="center"/>
              </w:trPr>
              <w:tc>
                <w:tcPr>
                  <w:tcW w:w="875"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验收</w:t>
                  </w:r>
                  <w:r>
                    <w:rPr>
                      <w:rFonts w:hint="eastAsia" w:ascii="宋体" w:hAnsi="宋体" w:cs="宋体"/>
                      <w:color w:val="auto"/>
                      <w:szCs w:val="24"/>
                      <w:highlight w:val="none"/>
                      <w:lang w:val="en-US" w:eastAsia="zh-CN"/>
                    </w:rPr>
                    <w:t>意见</w:t>
                  </w:r>
                </w:p>
              </w:tc>
              <w:tc>
                <w:tcPr>
                  <w:tcW w:w="129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szCs w:val="24"/>
                      <w:highlight w:val="none"/>
                    </w:rPr>
                  </w:pPr>
                  <w:r>
                    <w:rPr>
                      <w:rFonts w:hint="eastAsia" w:ascii="宋体" w:hAnsi="宋体" w:cs="宋体"/>
                      <w:color w:val="auto"/>
                      <w:szCs w:val="24"/>
                      <w:highlight w:val="none"/>
                    </w:rPr>
                    <w:t>□合格</w:t>
                  </w:r>
                </w:p>
                <w:p>
                  <w:pPr>
                    <w:widowControl/>
                    <w:jc w:val="center"/>
                    <w:rPr>
                      <w:rFonts w:hint="eastAsia" w:ascii="宋体" w:hAnsi="宋体" w:cs="宋体"/>
                      <w:color w:val="auto"/>
                      <w:szCs w:val="24"/>
                      <w:highlight w:val="none"/>
                    </w:rPr>
                  </w:pPr>
                </w:p>
                <w:p>
                  <w:pPr>
                    <w:widowControl/>
                    <w:jc w:val="center"/>
                    <w:rPr>
                      <w:rFonts w:hint="eastAsia" w:ascii="宋体" w:hAnsi="宋体" w:cs="宋体"/>
                      <w:color w:val="auto"/>
                      <w:szCs w:val="24"/>
                      <w:highlight w:val="none"/>
                    </w:rPr>
                  </w:pPr>
                  <w:r>
                    <w:rPr>
                      <w:rFonts w:hint="eastAsia" w:ascii="宋体" w:hAnsi="宋体" w:cs="宋体"/>
                      <w:color w:val="auto"/>
                      <w:szCs w:val="24"/>
                      <w:highlight w:val="none"/>
                    </w:rPr>
                    <w:t>□不合格</w:t>
                  </w:r>
                </w:p>
                <w:p>
                  <w:pPr>
                    <w:widowControl/>
                    <w:jc w:val="center"/>
                    <w:rPr>
                      <w:rFonts w:hint="eastAsia" w:ascii="宋体" w:hAnsi="宋体" w:cs="宋体"/>
                      <w:color w:val="auto"/>
                      <w:szCs w:val="24"/>
                      <w:highlight w:val="none"/>
                    </w:rPr>
                  </w:pPr>
                  <w:r>
                    <w:rPr>
                      <w:rFonts w:hint="eastAsia" w:ascii="宋体" w:hAnsi="宋体" w:cs="宋体"/>
                      <w:bCs/>
                      <w:color w:val="auto"/>
                      <w:szCs w:val="24"/>
                      <w:highlight w:val="none"/>
                    </w:rPr>
                    <w:t>（请“√”选）</w:t>
                  </w:r>
                </w:p>
              </w:tc>
              <w:tc>
                <w:tcPr>
                  <w:tcW w:w="2828"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szCs w:val="24"/>
                      <w:highlight w:val="none"/>
                    </w:rPr>
                  </w:pPr>
                  <w:r>
                    <w:rPr>
                      <w:rFonts w:hint="eastAsia" w:ascii="宋体" w:hAnsi="宋体" w:cs="宋体"/>
                      <w:color w:val="auto"/>
                      <w:szCs w:val="24"/>
                      <w:highlight w:val="none"/>
                    </w:rPr>
                    <w:t>验收不合格情况说明：</w:t>
                  </w:r>
                </w:p>
              </w:tc>
            </w:tr>
            <w:tr>
              <w:tblPrEx>
                <w:tblCellMar>
                  <w:top w:w="0" w:type="dxa"/>
                  <w:left w:w="108" w:type="dxa"/>
                  <w:bottom w:w="0" w:type="dxa"/>
                  <w:right w:w="108" w:type="dxa"/>
                </w:tblCellMar>
              </w:tblPrEx>
              <w:trPr>
                <w:trHeight w:val="684" w:hRule="atLeast"/>
                <w:jc w:val="center"/>
              </w:trPr>
              <w:tc>
                <w:tcPr>
                  <w:tcW w:w="2171" w:type="pct"/>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szCs w:val="24"/>
                      <w:highlight w:val="none"/>
                    </w:rPr>
                  </w:pPr>
                  <w:r>
                    <w:rPr>
                      <w:rFonts w:hint="eastAsia" w:ascii="宋体" w:hAnsi="宋体" w:cs="宋体"/>
                      <w:color w:val="auto"/>
                      <w:szCs w:val="24"/>
                      <w:highlight w:val="none"/>
                    </w:rPr>
                    <w:t>供货情况综合评价</w:t>
                  </w:r>
                </w:p>
              </w:tc>
              <w:tc>
                <w:tcPr>
                  <w:tcW w:w="282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szCs w:val="24"/>
                      <w:highlight w:val="none"/>
                    </w:rPr>
                  </w:pPr>
                  <w:r>
                    <w:rPr>
                      <w:rFonts w:hint="eastAsia" w:ascii="宋体" w:hAnsi="宋体" w:cs="宋体"/>
                      <w:color w:val="auto"/>
                      <w:szCs w:val="24"/>
                      <w:highlight w:val="none"/>
                    </w:rPr>
                    <w:t>□优  □良  □中  □差  （请“√”选，评价与当月结算挂钩）</w:t>
                  </w:r>
                </w:p>
              </w:tc>
            </w:tr>
            <w:tr>
              <w:tblPrEx>
                <w:tblCellMar>
                  <w:top w:w="0" w:type="dxa"/>
                  <w:left w:w="108" w:type="dxa"/>
                  <w:bottom w:w="0" w:type="dxa"/>
                  <w:right w:w="108" w:type="dxa"/>
                </w:tblCellMar>
              </w:tblPrEx>
              <w:trPr>
                <w:trHeight w:val="792"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 xml:space="preserve">采购人验收单位（盖章）：                       </w:t>
                  </w:r>
                  <w:r>
                    <w:rPr>
                      <w:rFonts w:hint="eastAsia" w:ascii="宋体" w:hAnsi="宋体" w:cs="宋体"/>
                      <w:color w:val="auto"/>
                      <w:szCs w:val="24"/>
                      <w:highlight w:val="none"/>
                      <w:lang w:val="en-US" w:eastAsia="zh-CN"/>
                    </w:rPr>
                    <w:t xml:space="preserve"> </w:t>
                  </w:r>
                </w:p>
              </w:tc>
            </w:tr>
            <w:tr>
              <w:tblPrEx>
                <w:tblCellMar>
                  <w:top w:w="0" w:type="dxa"/>
                  <w:left w:w="108" w:type="dxa"/>
                  <w:bottom w:w="0" w:type="dxa"/>
                  <w:right w:w="108" w:type="dxa"/>
                </w:tblCellMar>
              </w:tblPrEx>
              <w:trPr>
                <w:trHeight w:val="732"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 xml:space="preserve">采购人验收人（签名）：                          </w:t>
                  </w:r>
                  <w:r>
                    <w:rPr>
                      <w:rFonts w:hint="eastAsia" w:ascii="宋体" w:hAnsi="宋体" w:cs="宋体"/>
                      <w:color w:val="auto"/>
                      <w:szCs w:val="24"/>
                      <w:highlight w:val="none"/>
                      <w:lang w:val="en-US" w:eastAsia="zh-CN"/>
                    </w:rPr>
                    <w:t xml:space="preserve"> </w:t>
                  </w:r>
                </w:p>
              </w:tc>
            </w:tr>
            <w:tr>
              <w:tblPrEx>
                <w:tblCellMar>
                  <w:top w:w="0" w:type="dxa"/>
                  <w:left w:w="108" w:type="dxa"/>
                  <w:bottom w:w="0" w:type="dxa"/>
                  <w:right w:w="108" w:type="dxa"/>
                </w:tblCellMar>
              </w:tblPrEx>
              <w:trPr>
                <w:trHeight w:val="852"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szCs w:val="24"/>
                      <w:highlight w:val="none"/>
                    </w:rPr>
                  </w:pPr>
                  <w:r>
                    <w:rPr>
                      <w:rFonts w:hint="eastAsia" w:ascii="宋体" w:hAnsi="宋体" w:cs="宋体"/>
                      <w:color w:val="auto"/>
                      <w:szCs w:val="24"/>
                      <w:highlight w:val="none"/>
                    </w:rPr>
                    <w:t xml:space="preserve">验收日期：    年   月   日                      </w:t>
                  </w:r>
                </w:p>
              </w:tc>
            </w:tr>
          </w:tbl>
          <w:p>
            <w:pPr>
              <w:spacing w:line="360" w:lineRule="auto"/>
              <w:rPr>
                <w:rFonts w:ascii="宋体" w:hAnsi="宋体" w:eastAsia="宋体" w:cs="宋体"/>
                <w:color w:val="auto"/>
                <w:highlight w:val="none"/>
              </w:rPr>
            </w:pPr>
          </w:p>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812" w:type="pct"/>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验收要求</w:t>
            </w:r>
          </w:p>
        </w:tc>
        <w:tc>
          <w:tcPr>
            <w:tcW w:w="4187" w:type="pct"/>
          </w:tcPr>
          <w:p>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（一）验收流程</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订货单信息核查。中标人负责将所有食材配送到采购人指定的地点，采购人根据对应批次食材的订货单与中标人进行数量、种类、时间等信息核对，确保该批次食材按订单要求配送到位。</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卸货前的检查。双方验收人员卸货前应对场地和验收设备做好准备，并对食材的外观质量进行初步了解。食材运输必须采用符合卫生标准的外包装和运输工具，保持清洁和定期消毒，车厢内无不良异味。冷藏、冷冻食材必须用专用冷藏、冷冻载具运输，在运输过程中保持安全的冷藏、冷冻温度，冷冻食材没有曾经解冻痕迹或软化现象，包装呈干爽状态。食材应清洁，无损伤、腐烂现象，外包装完整，无寄生虫或已受虫害现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采购人在接收中标人的食材时，发现食材没有合格标志</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包装明显破损的，采购人当场有权拒收该批食材，中标人应立即按照合同的约定重新组织送货，否则视为中标人违约不能交货。</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现场抽查验收。食材卸货后，双方验收人员应认真检查食材的质量，按索票——验证——抽查——过磅——入库的程序完成验收，中标人可提供原件的留原件，原件如果只有一份而无法提供给采购人的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中标人查验原件后可索取复印件留存。具体抽查验收按以下情况执行：</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（1）每批次食材均须抽查验收，对数量在50箱（或公斤）以上（含50箱（或公斤））的抽查率为10%，50箱（或公斤）以下的抽查率为15%。</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验收工作人员应按招标文件食材质量要求对食材质量进行抽查，检查相关文件（见下表），以确保食材品种符合要求。如确定有所差异，应即刻通知送货人员。如发现食材有损坏的情况，应在相关单据上记录所有损坏情况。建议对食材损坏情况进行拍照并存档。对于食材验收的全部信息数据，采购人使用单位验收人员应和中标人人员一起确认，并保留双方签字单据。</w:t>
            </w:r>
          </w:p>
          <w:tbl>
            <w:tblPr>
              <w:tblStyle w:val="6"/>
              <w:tblW w:w="48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4049"/>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2652"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食材资质证照文件</w:t>
                  </w:r>
                </w:p>
              </w:tc>
              <w:tc>
                <w:tcPr>
                  <w:tcW w:w="1487"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验收索证要求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蛋肉类</w:t>
                  </w:r>
                </w:p>
              </w:tc>
              <w:tc>
                <w:tcPr>
                  <w:tcW w:w="2652"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《动物产品检疫合格证明》、《产品合格证》、《食品经营许可证》、其他文件</w:t>
                  </w:r>
                </w:p>
              </w:tc>
              <w:tc>
                <w:tcPr>
                  <w:tcW w:w="1487"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由政府食品、卫生等部门出具（有效期内）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粮油面类</w:t>
                  </w:r>
                </w:p>
              </w:tc>
              <w:tc>
                <w:tcPr>
                  <w:tcW w:w="2652"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《食品经营许可证》、《检验检测报告》、其他文件</w:t>
                  </w:r>
                </w:p>
              </w:tc>
              <w:tc>
                <w:tcPr>
                  <w:tcW w:w="1487"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由政府食品、卫生等部门出具（有效期内）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瓜果蔬菜类</w:t>
                  </w:r>
                </w:p>
              </w:tc>
              <w:tc>
                <w:tcPr>
                  <w:tcW w:w="2652"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《食品经营许可证》、《农药残留检测报告》、其他文件</w:t>
                  </w:r>
                </w:p>
              </w:tc>
              <w:tc>
                <w:tcPr>
                  <w:tcW w:w="1487"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由政府食品、卫生等部门出具（有效期内）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冻品类</w:t>
                  </w:r>
                </w:p>
              </w:tc>
              <w:tc>
                <w:tcPr>
                  <w:tcW w:w="2652"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《食品经营许可证》、其他文件</w:t>
                  </w:r>
                </w:p>
              </w:tc>
              <w:tc>
                <w:tcPr>
                  <w:tcW w:w="1487"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由政府食品、卫生等部门出具（有效期内）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干货和腊味类</w:t>
                  </w:r>
                </w:p>
              </w:tc>
              <w:tc>
                <w:tcPr>
                  <w:tcW w:w="2652"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《食品经营许可证》、其他文件</w:t>
                  </w:r>
                </w:p>
              </w:tc>
              <w:tc>
                <w:tcPr>
                  <w:tcW w:w="1487"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由政府食品、卫生等部门出具（有效期内）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调味品和配料类</w:t>
                  </w:r>
                </w:p>
              </w:tc>
              <w:tc>
                <w:tcPr>
                  <w:tcW w:w="2652"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《食品经营许可证》、《检验检测报告》、其他文件</w:t>
                  </w:r>
                </w:p>
              </w:tc>
              <w:tc>
                <w:tcPr>
                  <w:tcW w:w="1487"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由政府食品、卫生等部门出具（有效期内）</w:t>
                  </w:r>
                </w:p>
              </w:tc>
            </w:tr>
          </w:tbl>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（3）抽查发现食材安全质量问题的处理：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a.对危及人身安全的食材质量问题采取零容忍措施，一经发现，当日所送同批次食材全部退货。</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b.若抽查未发现问题，而在加工食用前发现部分食材质量问题，应立即通知采购人使用单位、食材验收小组及中标人，将问题食材退货处理。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c.采购人按照各饭堂食材需求发起采购订单，中标人根据各饭堂采购订单送货。送货食材出现以下质量问题的：</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①存在腐败变质、霉变、生虫、污秽不洁、感官性状异常的；②含有毒有害物质或被有害物质污染的；③掺假、掺杂、以次充好；④未能按照指定时间送达，影响采购人饭堂正常供应的；⑤数量、重量、品种未按照订单要求执行，偏差率＞</w:t>
            </w:r>
            <w:r>
              <w:rPr>
                <w:rFonts w:hint="eastAsia" w:ascii="宋体" w:hAnsi="宋体" w:eastAsia="宋体" w:cs="宋体"/>
                <w:color w:val="auto"/>
                <w:highlight w:val="none"/>
                <w:lang w:val="en-US"/>
              </w:rPr>
              <w:t>30%</w:t>
            </w:r>
            <w:r>
              <w:rPr>
                <w:rFonts w:hint="eastAsia" w:ascii="宋体" w:hAnsi="宋体" w:eastAsia="宋体" w:cs="宋体"/>
                <w:color w:val="auto"/>
                <w:highlight w:val="none"/>
              </w:rPr>
              <w:t>的。采购人将依照以下规定对中标人进行相应处理：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供货期间如某批次出现质量问题，中标人必须保证验收时发现质量问题1小时内无条件对该批次的全部食材进行换货；</w:t>
            </w:r>
            <w:r>
              <w:rPr>
                <w:rFonts w:hint="eastAsia" w:ascii="宋体" w:hAnsi="宋体" w:eastAsia="宋体" w:cs="宋体"/>
                <w:color w:val="auto"/>
                <w:highlight w:val="none"/>
                <w:lang w:eastAsia="zh-CN"/>
              </w:rPr>
              <w:t>如</w:t>
            </w:r>
            <w:r>
              <w:rPr>
                <w:rFonts w:hint="eastAsia" w:ascii="宋体" w:hAnsi="宋体" w:eastAsia="宋体" w:cs="宋体"/>
                <w:color w:val="auto"/>
                <w:highlight w:val="none"/>
                <w:lang w:val="en-US" w:eastAsia="zh-CN"/>
              </w:rPr>
              <w:t>1小时内无法更换合格食材，采购人有权自行购买相应食材，由此产生的所有费用由中标人承担，并对</w:t>
            </w:r>
            <w:r>
              <w:rPr>
                <w:rFonts w:hint="eastAsia" w:ascii="宋体" w:hAnsi="宋体" w:eastAsia="宋体" w:cs="宋体"/>
                <w:color w:val="auto"/>
                <w:highlight w:val="none"/>
              </w:rPr>
              <w:t>中标人处以</w:t>
            </w:r>
            <w:r>
              <w:rPr>
                <w:rFonts w:hint="eastAsia" w:ascii="宋体" w:hAnsi="宋体" w:eastAsia="宋体" w:cs="宋体"/>
                <w:color w:val="auto"/>
                <w:highlight w:val="none"/>
                <w:lang w:eastAsia="zh-CN"/>
              </w:rPr>
              <w:t>该</w:t>
            </w:r>
            <w:r>
              <w:rPr>
                <w:rFonts w:hint="eastAsia" w:ascii="宋体" w:hAnsi="宋体" w:eastAsia="宋体" w:cs="宋体"/>
                <w:color w:val="auto"/>
                <w:highlight w:val="none"/>
              </w:rPr>
              <w:t>批次供货款20%的罚款</w:t>
            </w:r>
            <w:r>
              <w:rPr>
                <w:rFonts w:hint="eastAsia" w:ascii="宋体" w:hAnsi="宋体" w:eastAsia="宋体" w:cs="宋体"/>
                <w:color w:val="auto"/>
                <w:highlight w:val="none"/>
                <w:lang w:eastAsia="zh-CN"/>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如</w:t>
            </w:r>
            <w:r>
              <w:rPr>
                <w:rFonts w:hint="eastAsia" w:ascii="宋体" w:hAnsi="宋体" w:eastAsia="宋体" w:cs="宋体"/>
                <w:color w:val="auto"/>
                <w:highlight w:val="none"/>
                <w:lang w:val="en-US"/>
              </w:rPr>
              <w:t>出现2次批次质量问题将</w:t>
            </w:r>
            <w:r>
              <w:rPr>
                <w:rFonts w:hint="eastAsia" w:ascii="宋体" w:hAnsi="宋体" w:eastAsia="宋体" w:cs="宋体"/>
                <w:color w:val="auto"/>
                <w:highlight w:val="none"/>
              </w:rPr>
              <w:t>对中标人处以第二批次供货款20%的罚款；</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一个月累计出现2次，将扣除中标人该月供货款20%的金额作为罚款；</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一年内</w:t>
            </w:r>
            <w:r>
              <w:rPr>
                <w:rFonts w:hint="eastAsia" w:ascii="宋体" w:hAnsi="宋体" w:eastAsia="宋体" w:cs="宋体"/>
                <w:color w:val="auto"/>
                <w:highlight w:val="none"/>
                <w:lang w:val="en-US" w:eastAsia="zh-CN"/>
              </w:rPr>
              <w:t>累计</w:t>
            </w:r>
            <w:r>
              <w:rPr>
                <w:rFonts w:hint="eastAsia" w:ascii="宋体" w:hAnsi="宋体" w:eastAsia="宋体" w:cs="宋体"/>
                <w:color w:val="auto"/>
                <w:highlight w:val="none"/>
              </w:rPr>
              <w:t>出现3次质量问题的，</w:t>
            </w:r>
            <w:r>
              <w:rPr>
                <w:rFonts w:hint="eastAsia" w:ascii="宋体" w:hAnsi="宋体" w:eastAsia="宋体" w:cs="宋体"/>
                <w:color w:val="auto"/>
                <w:highlight w:val="none"/>
                <w:lang w:val="en-US"/>
              </w:rPr>
              <w:t>将扣除第3次质量问题对应月份</w:t>
            </w:r>
            <w:r>
              <w:rPr>
                <w:rFonts w:hint="eastAsia" w:ascii="宋体" w:hAnsi="宋体" w:eastAsia="宋体" w:cs="宋体"/>
                <w:color w:val="auto"/>
                <w:highlight w:val="none"/>
              </w:rPr>
              <w:t>供货款20%的金额作为罚款；由采购人在相应的月供货款中直接扣除，且采购人有权单方面解除合同，并没收履约保证金。</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（注：一天之内所有饭堂的供货订单加总为一批次供货。）</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（4）抽查发现资质证照不全及计价问题的处理：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a.没有政府部门出具的动物检疫合格证明的畜禽冻肉类整批食材全部退货处理。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b.抽查发现部分畜禽冻肉类食材没有政府部门出具的动物检疫合格证明，加抽15%，两次抽查数50%以上</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不包含50%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没有动物检疫合格证明的，全部退货；50%以下</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包含50%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没有动物检疫合格证明的，将按无动物检疫合格证明的货物退货。</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c.整批食材有省地市出具的动物检疫合格证明，随箱食材合格证不齐全的，加抽15%，两次抽查数50%以上</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不包含50%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没有食材合格证的，全部退货；50%以下</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包含50%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没有食材合格证明的，将按无食材合格证明的货物退货。</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d、采购人将定期对资质及材料进行抽检，如有发现中标人没有按照约定基准价及中标</w:t>
            </w:r>
            <w:r>
              <w:rPr>
                <w:rFonts w:hint="eastAsia" w:ascii="宋体" w:hAnsi="宋体" w:eastAsia="宋体" w:cs="宋体"/>
                <w:color w:val="auto"/>
                <w:highlight w:val="none"/>
                <w:lang w:val="en-US" w:eastAsia="zh-CN"/>
              </w:rPr>
              <w:t>折扣率</w:t>
            </w:r>
            <w:r>
              <w:rPr>
                <w:rFonts w:hint="eastAsia" w:ascii="宋体" w:hAnsi="宋体" w:eastAsia="宋体" w:cs="宋体"/>
                <w:color w:val="auto"/>
                <w:highlight w:val="none"/>
              </w:rPr>
              <w:t>执行的，一个月内超过2次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含2次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的，采购人有权处以当月供货总额的</w:t>
            </w:r>
            <w:r>
              <w:rPr>
                <w:rFonts w:hint="eastAsia" w:ascii="宋体" w:hAnsi="宋体" w:eastAsia="宋体" w:cs="宋体"/>
                <w:color w:val="auto"/>
                <w:highlight w:val="none"/>
                <w:lang w:val="en-US"/>
              </w:rPr>
              <w:t>2</w:t>
            </w:r>
            <w:r>
              <w:rPr>
                <w:rFonts w:hint="eastAsia" w:ascii="宋体" w:hAnsi="宋体" w:eastAsia="宋体" w:cs="宋体"/>
                <w:color w:val="auto"/>
                <w:highlight w:val="none"/>
              </w:rPr>
              <w:t>0%作为罚款；或一年内3次的，将扣除第</w:t>
            </w:r>
            <w:r>
              <w:rPr>
                <w:rFonts w:hint="eastAsia" w:ascii="宋体" w:hAnsi="宋体" w:eastAsia="宋体" w:cs="宋体"/>
                <w:color w:val="auto"/>
                <w:highlight w:val="none"/>
                <w:lang w:val="en-US"/>
              </w:rPr>
              <w:t>3</w:t>
            </w:r>
            <w:r>
              <w:rPr>
                <w:rFonts w:hint="eastAsia" w:ascii="宋体" w:hAnsi="宋体" w:eastAsia="宋体" w:cs="宋体"/>
                <w:color w:val="auto"/>
                <w:highlight w:val="none"/>
              </w:rPr>
              <w:t>次</w:t>
            </w:r>
            <w:r>
              <w:rPr>
                <w:rFonts w:hint="eastAsia" w:ascii="宋体" w:hAnsi="宋体" w:eastAsia="宋体" w:cs="宋体"/>
                <w:color w:val="auto"/>
                <w:highlight w:val="none"/>
                <w:lang w:val="en-US"/>
              </w:rPr>
              <w:t>问题对应月份</w:t>
            </w:r>
            <w:r>
              <w:rPr>
                <w:rFonts w:hint="eastAsia" w:ascii="宋体" w:hAnsi="宋体" w:eastAsia="宋体" w:cs="宋体"/>
                <w:color w:val="auto"/>
                <w:highlight w:val="none"/>
              </w:rPr>
              <w:t>供货总额的</w:t>
            </w:r>
            <w:r>
              <w:rPr>
                <w:rFonts w:hint="eastAsia" w:ascii="宋体" w:hAnsi="宋体" w:eastAsia="宋体" w:cs="宋体"/>
                <w:color w:val="auto"/>
                <w:highlight w:val="none"/>
                <w:lang w:val="en-US"/>
              </w:rPr>
              <w:t>2</w:t>
            </w:r>
            <w:r>
              <w:rPr>
                <w:rFonts w:hint="eastAsia" w:ascii="宋体" w:hAnsi="宋体" w:eastAsia="宋体" w:cs="宋体"/>
                <w:color w:val="auto"/>
                <w:highlight w:val="none"/>
              </w:rPr>
              <w:t>0%作为罚款，且采购人有权单方解除合同和没收履约保证金。</w:t>
            </w:r>
          </w:p>
          <w:p>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（二）退（补）货流程</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中标人必须负责食材的运输、质量检测工作；采购人有权每月对瓜果蔬菜、蛋肉类等食材抽样送检，对不符合质量要求的食材由采购人使用单位验收人员提出清退，如双方对质量或重量有争议的可送具有检验资质的部门检测（检测合格则由采购人支付检测费用，检测不及格则由中标人支付检测费用，如出现二次检测农药等污染物超标的，采购人有权立即终止合同，由此所产生的费用及造成采购人损失的由中标人负责。）同时留样备检，对数量不足或部分退货的，责成中标人以不影响伙食供应为前提尽快补送。在退货过程中，对有碍公共卫生安全的食材，应按国家有关规定处理或进行协议销毁，不退货给中标人。</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（三）验收记录</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对每次验收的食材均记录货物名称、数量、验收情况等事项，并由双方签名确认。具体按《增城区公安分局饭堂食材供货收货（验收）单》执行，详见下表：</w:t>
            </w:r>
          </w:p>
          <w:p>
            <w:pPr>
              <w:spacing w:line="360" w:lineRule="auto"/>
              <w:ind w:firstLine="1470" w:firstLineChars="700"/>
              <w:rPr>
                <w:rFonts w:hint="eastAsia" w:ascii="宋体" w:hAnsi="宋体" w:eastAsia="宋体" w:cs="宋体"/>
                <w:color w:val="auto"/>
                <w:highlight w:val="none"/>
              </w:rPr>
            </w:pPr>
            <w:r>
              <w:rPr>
                <w:rFonts w:hint="eastAsia" w:ascii="宋体" w:hAnsi="宋体" w:eastAsia="宋体" w:cs="宋体"/>
                <w:color w:val="auto"/>
                <w:highlight w:val="none"/>
              </w:rPr>
              <w:t>增城区公安分局饭堂食材供货收货（验收）单</w:t>
            </w:r>
          </w:p>
          <w:tbl>
            <w:tblPr>
              <w:tblStyle w:val="6"/>
              <w:tblW w:w="4846" w:type="pct"/>
              <w:jc w:val="center"/>
              <w:tblLayout w:type="autofit"/>
              <w:tblCellMar>
                <w:top w:w="0" w:type="dxa"/>
                <w:left w:w="108" w:type="dxa"/>
                <w:bottom w:w="0" w:type="dxa"/>
                <w:right w:w="108" w:type="dxa"/>
              </w:tblCellMar>
            </w:tblPr>
            <w:tblGrid>
              <w:gridCol w:w="775"/>
              <w:gridCol w:w="2823"/>
              <w:gridCol w:w="980"/>
              <w:gridCol w:w="1104"/>
              <w:gridCol w:w="1081"/>
              <w:gridCol w:w="882"/>
            </w:tblGrid>
            <w:tr>
              <w:trPr>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供货地址：       供货日期：    年   月   日   到货时间：   时   分</w:t>
                  </w:r>
                </w:p>
              </w:tc>
            </w:tr>
            <w:tr>
              <w:tblPrEx>
                <w:tblCellMar>
                  <w:top w:w="0" w:type="dxa"/>
                  <w:left w:w="108" w:type="dxa"/>
                  <w:bottom w:w="0" w:type="dxa"/>
                  <w:right w:w="108" w:type="dxa"/>
                </w:tblCellMar>
              </w:tblPrEx>
              <w:trPr>
                <w:jc w:val="center"/>
              </w:trPr>
              <w:tc>
                <w:tcPr>
                  <w:tcW w:w="507" w:type="pct"/>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供货清单</w:t>
                  </w:r>
                </w:p>
              </w:tc>
              <w:tc>
                <w:tcPr>
                  <w:tcW w:w="4493" w:type="pct"/>
                  <w:gridSpan w:val="5"/>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供货清单（另附）</w:t>
                  </w:r>
                </w:p>
              </w:tc>
            </w:tr>
            <w:tr>
              <w:tblPrEx>
                <w:tblCellMar>
                  <w:top w:w="0" w:type="dxa"/>
                  <w:left w:w="108" w:type="dxa"/>
                  <w:bottom w:w="0" w:type="dxa"/>
                  <w:right w:w="108" w:type="dxa"/>
                </w:tblCellMar>
              </w:tblPrEx>
              <w:trPr>
                <w:jc w:val="center"/>
              </w:trPr>
              <w:tc>
                <w:tcPr>
                  <w:tcW w:w="507" w:type="pct"/>
                  <w:vMerge w:val="restart"/>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验收程序一</w:t>
                  </w:r>
                </w:p>
              </w:tc>
              <w:tc>
                <w:tcPr>
                  <w:tcW w:w="1846"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供货清单与订货清单是否相符</w:t>
                  </w:r>
                </w:p>
              </w:tc>
              <w:tc>
                <w:tcPr>
                  <w:tcW w:w="2647" w:type="pct"/>
                  <w:gridSpan w:val="4"/>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      □否（请“√”选，如不相符需写明情况）</w:t>
                  </w:r>
                </w:p>
              </w:tc>
            </w:tr>
            <w:tr>
              <w:tblPrEx>
                <w:tblCellMar>
                  <w:top w:w="0" w:type="dxa"/>
                  <w:left w:w="108" w:type="dxa"/>
                  <w:bottom w:w="0" w:type="dxa"/>
                  <w:right w:w="108" w:type="dxa"/>
                </w:tblCellMar>
              </w:tblPrEx>
              <w:trPr>
                <w:jc w:val="center"/>
              </w:trPr>
              <w:tc>
                <w:tcPr>
                  <w:tcW w:w="507" w:type="pct"/>
                  <w:vMerge w:val="continue"/>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c>
                <w:tcPr>
                  <w:tcW w:w="1846"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不相符情况说明</w:t>
                  </w:r>
                </w:p>
              </w:tc>
              <w:tc>
                <w:tcPr>
                  <w:tcW w:w="2647" w:type="pct"/>
                  <w:gridSpan w:val="4"/>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507" w:type="pct"/>
                  <w:vMerge w:val="restart"/>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验收程序二</w:t>
                  </w:r>
                </w:p>
              </w:tc>
              <w:tc>
                <w:tcPr>
                  <w:tcW w:w="1846"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卸货前的检查是否合格</w:t>
                  </w:r>
                </w:p>
              </w:tc>
              <w:tc>
                <w:tcPr>
                  <w:tcW w:w="2647" w:type="pct"/>
                  <w:gridSpan w:val="4"/>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      □否（请“√”选，如不合格需写明情况）</w:t>
                  </w:r>
                </w:p>
              </w:tc>
            </w:tr>
            <w:tr>
              <w:tblPrEx>
                <w:tblCellMar>
                  <w:top w:w="0" w:type="dxa"/>
                  <w:left w:w="108" w:type="dxa"/>
                  <w:bottom w:w="0" w:type="dxa"/>
                  <w:right w:w="108" w:type="dxa"/>
                </w:tblCellMar>
              </w:tblPrEx>
              <w:trPr>
                <w:jc w:val="center"/>
              </w:trPr>
              <w:tc>
                <w:tcPr>
                  <w:tcW w:w="507" w:type="pct"/>
                  <w:vMerge w:val="continue"/>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c>
                <w:tcPr>
                  <w:tcW w:w="1846"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不合格情况说明</w:t>
                  </w:r>
                </w:p>
              </w:tc>
              <w:tc>
                <w:tcPr>
                  <w:tcW w:w="2647" w:type="pct"/>
                  <w:gridSpan w:val="4"/>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507" w:type="pct"/>
                  <w:vMerge w:val="restart"/>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验收程序三</w:t>
                  </w:r>
                </w:p>
              </w:tc>
              <w:tc>
                <w:tcPr>
                  <w:tcW w:w="1846" w:type="pct"/>
                  <w:vMerge w:val="restart"/>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现场抽查（含食材及其对应合格证明等文件检查，如有更多抽查项目请另附表单）</w:t>
                  </w:r>
                </w:p>
              </w:tc>
              <w:tc>
                <w:tcPr>
                  <w:tcW w:w="1363" w:type="pct"/>
                  <w:gridSpan w:val="2"/>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抽查食</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材名称： </w:t>
                  </w:r>
                </w:p>
              </w:tc>
              <w:tc>
                <w:tcPr>
                  <w:tcW w:w="1284" w:type="pct"/>
                  <w:gridSpan w:val="2"/>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抽查食</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材名称：</w:t>
                  </w:r>
                </w:p>
              </w:tc>
            </w:tr>
            <w:tr>
              <w:tblPrEx>
                <w:tblCellMar>
                  <w:top w:w="0" w:type="dxa"/>
                  <w:left w:w="108" w:type="dxa"/>
                  <w:bottom w:w="0" w:type="dxa"/>
                  <w:right w:w="108" w:type="dxa"/>
                </w:tblCellMar>
              </w:tblPrEx>
              <w:trPr>
                <w:jc w:val="center"/>
              </w:trPr>
              <w:tc>
                <w:tcPr>
                  <w:tcW w:w="507" w:type="pct"/>
                  <w:vMerge w:val="continue"/>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c>
                <w:tcPr>
                  <w:tcW w:w="1846" w:type="pct"/>
                  <w:vMerge w:val="continue"/>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c>
                <w:tcPr>
                  <w:tcW w:w="641"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抽查数量</w:t>
                  </w:r>
                </w:p>
              </w:tc>
              <w:tc>
                <w:tcPr>
                  <w:tcW w:w="722"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抽查结果</w:t>
                  </w:r>
                </w:p>
              </w:tc>
              <w:tc>
                <w:tcPr>
                  <w:tcW w:w="707"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抽查数量</w:t>
                  </w:r>
                </w:p>
              </w:tc>
              <w:tc>
                <w:tcPr>
                  <w:tcW w:w="577"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抽查结果</w:t>
                  </w:r>
                </w:p>
              </w:tc>
            </w:tr>
            <w:tr>
              <w:tblPrEx>
                <w:tblCellMar>
                  <w:top w:w="0" w:type="dxa"/>
                  <w:left w:w="108" w:type="dxa"/>
                  <w:bottom w:w="0" w:type="dxa"/>
                  <w:right w:w="108" w:type="dxa"/>
                </w:tblCellMar>
              </w:tblPrEx>
              <w:trPr>
                <w:jc w:val="center"/>
              </w:trPr>
              <w:tc>
                <w:tcPr>
                  <w:tcW w:w="507" w:type="pct"/>
                  <w:vMerge w:val="continue"/>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c>
                <w:tcPr>
                  <w:tcW w:w="1846" w:type="pct"/>
                  <w:vMerge w:val="continue"/>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c>
                <w:tcPr>
                  <w:tcW w:w="641"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c>
                <w:tcPr>
                  <w:tcW w:w="722"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□合格</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□不合格</w:t>
                  </w:r>
                </w:p>
              </w:tc>
              <w:tc>
                <w:tcPr>
                  <w:tcW w:w="707"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c>
                <w:tcPr>
                  <w:tcW w:w="577"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□合格</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□不合格</w:t>
                  </w:r>
                </w:p>
              </w:tc>
            </w:tr>
            <w:tr>
              <w:tblPrEx>
                <w:tblCellMar>
                  <w:top w:w="0" w:type="dxa"/>
                  <w:left w:w="108" w:type="dxa"/>
                  <w:bottom w:w="0" w:type="dxa"/>
                  <w:right w:w="108" w:type="dxa"/>
                </w:tblCellMar>
              </w:tblPrEx>
              <w:trPr>
                <w:jc w:val="center"/>
              </w:trPr>
              <w:tc>
                <w:tcPr>
                  <w:tcW w:w="507" w:type="pct"/>
                  <w:vMerge w:val="continue"/>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c>
                <w:tcPr>
                  <w:tcW w:w="1846"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抽查不合格情况说明</w:t>
                  </w:r>
                </w:p>
              </w:tc>
              <w:tc>
                <w:tcPr>
                  <w:tcW w:w="2647" w:type="pct"/>
                  <w:gridSpan w:val="4"/>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507" w:type="pct"/>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验收结论</w:t>
                  </w:r>
                </w:p>
              </w:tc>
              <w:tc>
                <w:tcPr>
                  <w:tcW w:w="1846"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□合格</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□不合格</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（请“√”选）</w:t>
                  </w:r>
                </w:p>
              </w:tc>
              <w:tc>
                <w:tcPr>
                  <w:tcW w:w="2647" w:type="pct"/>
                  <w:gridSpan w:val="4"/>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验收不</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合格情</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况说明：</w:t>
                  </w:r>
                </w:p>
              </w:tc>
            </w:tr>
            <w:tr>
              <w:tblPrEx>
                <w:tblCellMar>
                  <w:top w:w="0" w:type="dxa"/>
                  <w:left w:w="108" w:type="dxa"/>
                  <w:bottom w:w="0" w:type="dxa"/>
                  <w:right w:w="108" w:type="dxa"/>
                </w:tblCellMar>
              </w:tblPrEx>
              <w:trPr>
                <w:jc w:val="center"/>
              </w:trPr>
              <w:tc>
                <w:tcPr>
                  <w:tcW w:w="2353" w:type="pct"/>
                  <w:gridSpan w:val="2"/>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供货情况综合评价</w:t>
                  </w:r>
                </w:p>
              </w:tc>
              <w:tc>
                <w:tcPr>
                  <w:tcW w:w="2647" w:type="pct"/>
                  <w:gridSpan w:val="4"/>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□优  □良  □中  □差  （请“√”选，评价与当月结算挂钩）</w:t>
                  </w:r>
                </w:p>
              </w:tc>
            </w:tr>
            <w:tr>
              <w:tblPrEx>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采购人验收单位（盖章）：                        供应商（盖章）：</w:t>
                  </w:r>
                </w:p>
              </w:tc>
            </w:tr>
            <w:tr>
              <w:tblPrEx>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采购人验收人（签名）：                          供应商验收人（签名）：</w:t>
                  </w:r>
                </w:p>
              </w:tc>
            </w:tr>
            <w:tr>
              <w:tblPrEx>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验收日期：    年   月   日                      </w:t>
                  </w:r>
                </w:p>
              </w:tc>
            </w:tr>
          </w:tbl>
          <w:p>
            <w:pPr>
              <w:spacing w:line="360" w:lineRule="auto"/>
              <w:rPr>
                <w:rFonts w:ascii="宋体" w:hAnsi="宋体" w:eastAsia="宋体" w:cs="宋体"/>
                <w:color w:val="auto"/>
                <w:highlight w:val="none"/>
              </w:rPr>
            </w:pPr>
          </w:p>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812" w:type="pct"/>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履约保证金</w:t>
            </w:r>
          </w:p>
        </w:tc>
        <w:tc>
          <w:tcPr>
            <w:tcW w:w="4187" w:type="pct"/>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收取比例：</w:t>
            </w:r>
            <w:r>
              <w:rPr>
                <w:rFonts w:hint="eastAsia" w:ascii="宋体" w:hAnsi="宋体" w:eastAsia="宋体" w:cs="宋体"/>
                <w:color w:val="auto"/>
                <w:highlight w:val="none"/>
                <w:lang w:val="en-US"/>
              </w:rPr>
              <w:t>3</w:t>
            </w:r>
            <w:r>
              <w:rPr>
                <w:rFonts w:ascii="宋体" w:hAnsi="宋体" w:eastAsia="宋体" w:cs="宋体"/>
                <w:color w:val="auto"/>
                <w:highlight w:val="none"/>
              </w:rPr>
              <w:t>%</w:t>
            </w:r>
            <w:r>
              <w:rPr>
                <w:rFonts w:hint="eastAsia" w:ascii="宋体" w:hAnsi="宋体" w:eastAsia="宋体" w:cs="宋体"/>
                <w:color w:val="auto"/>
                <w:highlight w:val="none"/>
              </w:rPr>
              <w:t>。</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w:t>
            </w:r>
            <w:r>
              <w:rPr>
                <w:rFonts w:ascii="宋体" w:hAnsi="宋体" w:eastAsia="宋体" w:cs="宋体"/>
                <w:color w:val="auto"/>
                <w:highlight w:val="none"/>
              </w:rPr>
              <w:t>.</w:t>
            </w:r>
            <w:r>
              <w:rPr>
                <w:rFonts w:hint="eastAsia" w:ascii="宋体" w:hAnsi="宋体" w:eastAsia="宋体" w:cs="宋体"/>
                <w:color w:val="auto"/>
                <w:highlight w:val="none"/>
              </w:rPr>
              <w:t>提交时间：合同签订生效之日起15个工作日内向采购人提交；</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w:t>
            </w:r>
            <w:r>
              <w:rPr>
                <w:rFonts w:ascii="宋体" w:hAnsi="宋体" w:eastAsia="宋体" w:cs="宋体"/>
                <w:color w:val="auto"/>
                <w:highlight w:val="none"/>
              </w:rPr>
              <w:t>.</w:t>
            </w:r>
            <w:r>
              <w:rPr>
                <w:rFonts w:hint="eastAsia" w:ascii="宋体" w:hAnsi="宋体" w:eastAsia="宋体" w:cs="宋体"/>
                <w:color w:val="auto"/>
                <w:highlight w:val="none"/>
              </w:rPr>
              <w:t>金额：合同总金额的</w:t>
            </w:r>
            <w:r>
              <w:rPr>
                <w:rFonts w:hint="eastAsia" w:ascii="宋体" w:hAnsi="宋体" w:eastAsia="宋体" w:cs="宋体"/>
                <w:color w:val="auto"/>
                <w:highlight w:val="none"/>
                <w:lang w:val="en-US"/>
              </w:rPr>
              <w:t>3</w:t>
            </w:r>
            <w:r>
              <w:rPr>
                <w:rFonts w:ascii="宋体" w:hAnsi="宋体" w:eastAsia="宋体" w:cs="宋体"/>
                <w:color w:val="auto"/>
                <w:highlight w:val="none"/>
              </w:rPr>
              <w:t>%</w:t>
            </w:r>
            <w:r>
              <w:rPr>
                <w:rFonts w:hint="eastAsia" w:ascii="宋体" w:hAnsi="宋体" w:eastAsia="宋体" w:cs="宋体"/>
                <w:color w:val="auto"/>
                <w:highlight w:val="none"/>
              </w:rPr>
              <w:t>；</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w:t>
            </w:r>
            <w:r>
              <w:rPr>
                <w:rFonts w:ascii="宋体" w:hAnsi="宋体" w:eastAsia="宋体" w:cs="宋体"/>
                <w:color w:val="auto"/>
                <w:highlight w:val="none"/>
              </w:rPr>
              <w:t>.</w:t>
            </w:r>
            <w:r>
              <w:rPr>
                <w:rFonts w:hint="eastAsia" w:ascii="宋体" w:hAnsi="宋体" w:eastAsia="宋体" w:cs="宋体"/>
                <w:color w:val="auto"/>
                <w:highlight w:val="none"/>
              </w:rPr>
              <w:t>方式：银行履约保函（无条件的、不可撤销的、地市级以上银行出具）</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w:t>
            </w:r>
            <w:r>
              <w:rPr>
                <w:rFonts w:ascii="宋体" w:hAnsi="宋体" w:eastAsia="宋体" w:cs="宋体"/>
                <w:color w:val="auto"/>
                <w:highlight w:val="none"/>
              </w:rPr>
              <w:t>.</w:t>
            </w:r>
            <w:r>
              <w:rPr>
                <w:rFonts w:hint="eastAsia" w:ascii="宋体" w:hAnsi="宋体" w:eastAsia="宋体" w:cs="宋体"/>
                <w:color w:val="auto"/>
                <w:highlight w:val="none"/>
              </w:rPr>
              <w:t>退还说明：</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①时间、方式和条件：如合同期内中标人无违约行为，保函在供货合同期满后自动失效。</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②违约责任：采购人逾期退还履约保证金的，除应当退还履约保证金本金外，</w:t>
            </w:r>
            <w:bookmarkStart w:id="0" w:name="_Hlk17389720"/>
            <w:r>
              <w:rPr>
                <w:rFonts w:hint="eastAsia" w:ascii="宋体" w:hAnsi="宋体" w:eastAsia="宋体" w:cs="宋体"/>
                <w:color w:val="auto"/>
                <w:highlight w:val="none"/>
              </w:rPr>
              <w:t>还应当每日按履约保证金本金的</w:t>
            </w:r>
            <w:r>
              <w:rPr>
                <w:rFonts w:ascii="宋体" w:hAnsi="宋体" w:eastAsia="宋体" w:cs="宋体"/>
                <w:color w:val="auto"/>
                <w:highlight w:val="none"/>
              </w:rPr>
              <w:t>1</w:t>
            </w:r>
            <w:r>
              <w:rPr>
                <w:rFonts w:hint="eastAsia" w:ascii="宋体" w:hAnsi="宋体" w:eastAsia="宋体" w:cs="宋体"/>
                <w:color w:val="auto"/>
                <w:highlight w:val="none"/>
              </w:rPr>
              <w:t>‰向中标人偿付违约金</w:t>
            </w:r>
            <w:bookmarkEnd w:id="0"/>
            <w:r>
              <w:rPr>
                <w:rFonts w:hint="eastAsia" w:ascii="宋体" w:hAnsi="宋体" w:eastAsia="宋体" w:cs="宋体"/>
                <w:color w:val="auto"/>
                <w:highlight w:val="none"/>
              </w:rPr>
              <w:t>，但因中标人自身原因导致无法及时退还的除外。</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③中标人违反合同及其附件约定的任何义务，采购人有权在履约保证金中直接扣除中标人应向采购人支付的违约金或损失赔偿额，如有不足的，中标人应对超过的部分予以赔偿。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812" w:type="pct"/>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其他</w:t>
            </w:r>
          </w:p>
        </w:tc>
        <w:tc>
          <w:tcPr>
            <w:tcW w:w="4187" w:type="pct"/>
          </w:tcPr>
          <w:p>
            <w:pPr>
              <w:rPr>
                <w:rFonts w:hint="eastAsia"/>
                <w:b/>
                <w:bCs/>
                <w:color w:val="auto"/>
                <w:highlight w:val="none"/>
              </w:rPr>
            </w:pPr>
            <w:r>
              <w:rPr>
                <w:rFonts w:hint="eastAsia"/>
                <w:b/>
                <w:bCs/>
                <w:color w:val="auto"/>
                <w:highlight w:val="none"/>
              </w:rPr>
              <w:t>1.交货要求</w:t>
            </w:r>
          </w:p>
          <w:p>
            <w:pPr>
              <w:ind w:firstLine="420" w:firstLineChars="200"/>
              <w:rPr>
                <w:rFonts w:hint="eastAsia"/>
                <w:color w:val="auto"/>
                <w:highlight w:val="none"/>
              </w:rPr>
            </w:pPr>
            <w:r>
              <w:rPr>
                <w:rFonts w:hint="eastAsia"/>
                <w:color w:val="auto"/>
                <w:highlight w:val="none"/>
              </w:rPr>
              <w:t>（1）交货时间：采购人通过</w:t>
            </w:r>
            <w:r>
              <w:rPr>
                <w:rFonts w:hint="eastAsia" w:eastAsia="宋体"/>
                <w:color w:val="auto"/>
                <w:highlight w:val="none"/>
                <w:lang w:val="en-US" w:eastAsia="zh-CN"/>
              </w:rPr>
              <w:t>食材系统管理（软件）、电子邮件或电话方式</w:t>
            </w:r>
            <w:r>
              <w:rPr>
                <w:rFonts w:hint="eastAsia"/>
                <w:color w:val="auto"/>
                <w:highlight w:val="none"/>
              </w:rPr>
              <w:t>发送订购单，订购单原则至少提前1天发送（其他情况由双方协商），中标人须在1小时内响应，并按采购人约定的时间准时送达。中标人应在送货前提前通知采购人到货时间，中标人按时运送货物到采购人指定地点</w:t>
            </w:r>
            <w:r>
              <w:rPr>
                <w:rFonts w:hint="eastAsia" w:eastAsia="宋体"/>
                <w:color w:val="auto"/>
                <w:highlight w:val="none"/>
                <w:lang w:eastAsia="zh-CN"/>
              </w:rPr>
              <w:t>（</w:t>
            </w:r>
            <w:r>
              <w:rPr>
                <w:rFonts w:hint="eastAsia" w:eastAsia="宋体"/>
                <w:color w:val="auto"/>
                <w:highlight w:val="none"/>
                <w:lang w:val="en-US" w:eastAsia="zh-CN"/>
              </w:rPr>
              <w:t>配送费用已包含在合同总价中</w:t>
            </w:r>
            <w:r>
              <w:rPr>
                <w:rFonts w:hint="eastAsia" w:eastAsia="宋体"/>
                <w:color w:val="auto"/>
                <w:highlight w:val="none"/>
                <w:lang w:eastAsia="zh-CN"/>
              </w:rPr>
              <w:t>）</w:t>
            </w:r>
            <w:r>
              <w:rPr>
                <w:rFonts w:hint="eastAsia"/>
                <w:color w:val="auto"/>
                <w:highlight w:val="none"/>
              </w:rPr>
              <w:t>，以便做好交收工作。采购人安排相关工作人员过秤验收并记录。</w:t>
            </w:r>
          </w:p>
          <w:p>
            <w:pPr>
              <w:ind w:firstLine="420" w:firstLineChars="200"/>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采购人根据各饭堂实际情况，原则上将提前一周制定下一周饭堂菜单，并在每周周一18时前将下周饭堂菜单提供给中标人，中标人收到菜单后需在2天内提供涉及菜单食材的价格清单，提交采购人确认后做好备货和配送。</w:t>
            </w:r>
          </w:p>
          <w:p>
            <w:pPr>
              <w:ind w:firstLine="420" w:firstLineChars="200"/>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）交货地点：</w:t>
            </w:r>
            <w:r>
              <w:rPr>
                <w:rFonts w:hint="eastAsia" w:eastAsia="宋体"/>
                <w:color w:val="auto"/>
                <w:highlight w:val="none"/>
                <w:lang w:val="en-US" w:eastAsia="zh-CN"/>
              </w:rPr>
              <w:t>20</w:t>
            </w:r>
            <w:r>
              <w:rPr>
                <w:rFonts w:hint="eastAsia"/>
                <w:color w:val="auto"/>
                <w:highlight w:val="none"/>
              </w:rPr>
              <w:t>个饭堂，详见项目概述中饭堂情况表。</w:t>
            </w:r>
          </w:p>
          <w:p>
            <w:pPr>
              <w:ind w:firstLine="420" w:firstLineChars="200"/>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）中标人在每次配送货物时，须向采购人提供货物验收单，并当场双方签署确认。</w:t>
            </w:r>
          </w:p>
          <w:p>
            <w:pPr>
              <w:rPr>
                <w:b/>
                <w:bCs/>
                <w:color w:val="auto"/>
                <w:highlight w:val="none"/>
              </w:rPr>
            </w:pPr>
            <w:r>
              <w:rPr>
                <w:rFonts w:hint="eastAsia"/>
                <w:b/>
                <w:bCs/>
                <w:color w:val="auto"/>
                <w:highlight w:val="none"/>
              </w:rPr>
              <w:t>2</w:t>
            </w:r>
            <w:r>
              <w:rPr>
                <w:b/>
                <w:bCs/>
                <w:color w:val="auto"/>
                <w:highlight w:val="none"/>
              </w:rPr>
              <w:t>.</w:t>
            </w:r>
            <w:r>
              <w:rPr>
                <w:rFonts w:hint="eastAsia"/>
                <w:b/>
                <w:bCs/>
                <w:color w:val="auto"/>
                <w:highlight w:val="none"/>
              </w:rPr>
              <w:t>食材配送要求</w:t>
            </w:r>
          </w:p>
          <w:p>
            <w:pPr>
              <w:ind w:firstLine="420" w:firstLineChars="200"/>
              <w:rPr>
                <w:color w:val="auto"/>
                <w:highlight w:val="none"/>
              </w:rPr>
            </w:pPr>
            <w:r>
              <w:rPr>
                <w:rFonts w:hint="eastAsia"/>
                <w:color w:val="auto"/>
                <w:highlight w:val="none"/>
              </w:rPr>
              <w:t>（1）所有食材运输必须采用符合卫生标准的外包装和运载工具，运载工具要保持清洁和定期消毒。运输车厢的内仓四周，应使用抗腐蚀、防潮，易清洁消毒的材料。车厢内无异味。</w:t>
            </w:r>
          </w:p>
          <w:p>
            <w:pPr>
              <w:ind w:firstLine="420" w:firstLineChars="200"/>
              <w:rPr>
                <w:color w:val="auto"/>
                <w:highlight w:val="none"/>
              </w:rPr>
            </w:pPr>
            <w:r>
              <w:rPr>
                <w:rFonts w:hint="eastAsia"/>
                <w:color w:val="auto"/>
                <w:highlight w:val="none"/>
              </w:rPr>
              <w:t>（2）冷藏、冷冻食材必须用专用冷藏、冷冻载具运输，应当有必要的保温设备并在整个运输过程中保持安全的冷藏、冷冻温度，使运输食材处于恒定的环境中。</w:t>
            </w:r>
          </w:p>
          <w:p>
            <w:pPr>
              <w:ind w:firstLine="420" w:firstLineChars="200"/>
              <w:rPr>
                <w:color w:val="auto"/>
                <w:highlight w:val="none"/>
              </w:rPr>
            </w:pPr>
            <w:r>
              <w:rPr>
                <w:rFonts w:hint="eastAsia"/>
                <w:color w:val="auto"/>
                <w:highlight w:val="none"/>
              </w:rPr>
              <w:t>（3）送货车辆实行一小时配送圈运作，目的地在一小时内的用保温车配送，一小时以外的用制冷车配送，保证冷冻肉中心温度控制在-2℃～7℃的范围之内，保证运输过程冷链不中断。食材到达目的地时外包装箱干爽,无软化现象。</w:t>
            </w:r>
          </w:p>
          <w:p>
            <w:pPr>
              <w:ind w:firstLine="420" w:firstLineChars="200"/>
              <w:rPr>
                <w:color w:val="auto"/>
                <w:highlight w:val="none"/>
              </w:rPr>
            </w:pPr>
            <w:r>
              <w:rPr>
                <w:rFonts w:hint="eastAsia"/>
                <w:color w:val="auto"/>
                <w:highlight w:val="none"/>
              </w:rPr>
              <w:t>（4）卸货要求：送货车辆应保持清洁；食材堆放科学合理，避免造成食材的交叉污染；如对温度有要求的食材应确定食品的温度，记录送货车辆温度，并存档。在卸货过程中应保证冷藏食材脱离冷链时间不得超过20分钟，冷冻食材脱离冷链时间不得超过30分钟。</w:t>
            </w:r>
          </w:p>
          <w:p>
            <w:pPr>
              <w:ind w:firstLine="420" w:firstLineChars="200"/>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）在配送总重量不变情况下，采购人根据中标人各供货点择优配选食材按期出供货计划，中标人应灵活地配合和按时备齐食材。</w:t>
            </w:r>
          </w:p>
          <w:p>
            <w:pPr>
              <w:rPr>
                <w:rFonts w:hint="eastAsia"/>
                <w:b/>
                <w:bCs/>
                <w:color w:val="auto"/>
                <w:highlight w:val="none"/>
              </w:rPr>
            </w:pPr>
            <w:r>
              <w:rPr>
                <w:rFonts w:hint="eastAsia"/>
                <w:b/>
                <w:bCs/>
                <w:color w:val="auto"/>
                <w:highlight w:val="none"/>
              </w:rPr>
              <w:t>3.总体要求</w:t>
            </w:r>
          </w:p>
          <w:p>
            <w:pPr>
              <w:ind w:firstLine="420" w:firstLineChars="200"/>
              <w:rPr>
                <w:rFonts w:hint="eastAsia"/>
                <w:color w:val="auto"/>
                <w:highlight w:val="none"/>
              </w:rPr>
            </w:pPr>
            <w:r>
              <w:rPr>
                <w:rFonts w:hint="eastAsia"/>
                <w:color w:val="auto"/>
                <w:highlight w:val="none"/>
              </w:rPr>
              <w:t>（1）投标人所供应食材必须符合《中华人民共和国食品安全法》等相关法律法规及行政许可的要求。</w:t>
            </w:r>
          </w:p>
          <w:p>
            <w:pPr>
              <w:ind w:firstLine="420" w:firstLineChars="200"/>
              <w:rPr>
                <w:rFonts w:hint="eastAsia"/>
                <w:color w:val="auto"/>
                <w:highlight w:val="none"/>
              </w:rPr>
            </w:pPr>
            <w:r>
              <w:rPr>
                <w:rFonts w:hint="eastAsia"/>
                <w:color w:val="auto"/>
                <w:highlight w:val="none"/>
              </w:rPr>
              <w:t>（2）本次采购的食材为非进口食材（进口食材指通过中国海关报关验放进入中国境内且产自关境外的食材）。</w:t>
            </w:r>
          </w:p>
          <w:p>
            <w:pPr>
              <w:ind w:firstLine="420" w:firstLineChars="200"/>
              <w:rPr>
                <w:rFonts w:hint="eastAsia"/>
                <w:color w:val="auto"/>
                <w:highlight w:val="none"/>
              </w:rPr>
            </w:pPr>
            <w:r>
              <w:rPr>
                <w:rFonts w:hint="eastAsia"/>
                <w:color w:val="auto"/>
                <w:highlight w:val="none"/>
              </w:rPr>
              <w:t>（3）中标人应指派专业服务团队提供食材供应、配送等服务，团队成员不少于20人（其中指定1名为项目负责人），并提交健康证、工作证、身份证明等资料报采购人备案。如需调整服务团队成员，须书面向采购人提出申请，说明理由，经采购人书面同意后方可调整服务团队成员。</w:t>
            </w:r>
          </w:p>
          <w:p>
            <w:pPr>
              <w:ind w:firstLine="420" w:firstLineChars="200"/>
              <w:rPr>
                <w:rFonts w:hint="eastAsia"/>
                <w:color w:val="auto"/>
                <w:highlight w:val="none"/>
              </w:rPr>
            </w:pPr>
            <w:r>
              <w:rPr>
                <w:rFonts w:hint="eastAsia"/>
                <w:color w:val="auto"/>
                <w:highlight w:val="none"/>
              </w:rPr>
              <w:t>★（4）中标人所供应的食材必须符合国家有关标准，保证无异味、无霉烂变质，如不符合招标文件所描述的质量标准，必须</w:t>
            </w:r>
            <w:r>
              <w:rPr>
                <w:rFonts w:hint="eastAsia"/>
                <w:color w:val="auto"/>
                <w:highlight w:val="none"/>
                <w:lang w:val="en-US" w:eastAsia="zh-CN"/>
              </w:rPr>
              <w:t>接受</w:t>
            </w:r>
            <w:r>
              <w:rPr>
                <w:rFonts w:hint="eastAsia"/>
                <w:color w:val="auto"/>
                <w:highlight w:val="none"/>
              </w:rPr>
              <w:t>无偿退货并承担相应违约责任（须提交承诺函，格式自拟）。</w:t>
            </w:r>
          </w:p>
          <w:p>
            <w:pPr>
              <w:ind w:firstLine="420" w:firstLineChars="200"/>
              <w:rPr>
                <w:rFonts w:hint="eastAsia"/>
                <w:color w:val="auto"/>
                <w:highlight w:val="none"/>
              </w:rPr>
            </w:pPr>
            <w:r>
              <w:rPr>
                <w:rFonts w:hint="eastAsia"/>
                <w:color w:val="auto"/>
                <w:highlight w:val="none"/>
              </w:rPr>
              <w:t>（5）中标人所供应食材必须符合国家行业生产及经营标准，货真价实，供货时必须提供相应批次食材的合格检验证明（包含但不限于农药残留检测报告、动物检疫合格证明等）。</w:t>
            </w:r>
          </w:p>
          <w:p>
            <w:pPr>
              <w:ind w:firstLine="420" w:firstLineChars="200"/>
              <w:rPr>
                <w:rFonts w:hint="eastAsia"/>
                <w:color w:val="auto"/>
                <w:highlight w:val="none"/>
              </w:rPr>
            </w:pPr>
            <w:r>
              <w:rPr>
                <w:rFonts w:hint="eastAsia"/>
                <w:color w:val="auto"/>
                <w:highlight w:val="none"/>
              </w:rPr>
              <w:t>（6）中标人所供应食材各项技术指标必须完全符合国家有关质量检测、环保标准及食材出厂标准。</w:t>
            </w:r>
          </w:p>
          <w:p>
            <w:pPr>
              <w:ind w:firstLine="420" w:firstLineChars="200"/>
              <w:rPr>
                <w:rFonts w:hint="eastAsia"/>
                <w:color w:val="auto"/>
                <w:highlight w:val="none"/>
              </w:rPr>
            </w:pPr>
            <w:r>
              <w:rPr>
                <w:rFonts w:hint="eastAsia"/>
                <w:color w:val="auto"/>
                <w:highlight w:val="none"/>
              </w:rPr>
              <w:t>（</w:t>
            </w:r>
            <w:r>
              <w:rPr>
                <w:rFonts w:hint="eastAsia"/>
                <w:color w:val="auto"/>
                <w:highlight w:val="none"/>
                <w:lang w:val="en-US"/>
              </w:rPr>
              <w:t>7</w:t>
            </w:r>
            <w:r>
              <w:rPr>
                <w:rFonts w:hint="eastAsia"/>
                <w:color w:val="auto"/>
                <w:highlight w:val="none"/>
              </w:rPr>
              <w:t>）中标人不得将本中标项目进行转包或分包，否则采购人有权终止合同，由此产生的一切经济损失由中标人自行承担。</w:t>
            </w:r>
          </w:p>
          <w:p>
            <w:pPr>
              <w:ind w:firstLine="420" w:firstLineChars="200"/>
              <w:rPr>
                <w:rFonts w:hint="eastAsia"/>
                <w:color w:val="auto"/>
                <w:highlight w:val="none"/>
              </w:rPr>
            </w:pPr>
            <w:r>
              <w:rPr>
                <w:rFonts w:hint="eastAsia"/>
                <w:color w:val="auto"/>
                <w:highlight w:val="none"/>
              </w:rPr>
              <w:t>（</w:t>
            </w:r>
            <w:r>
              <w:rPr>
                <w:rFonts w:hint="eastAsia"/>
                <w:color w:val="auto"/>
                <w:highlight w:val="none"/>
                <w:lang w:val="en-US"/>
              </w:rPr>
              <w:t>8</w:t>
            </w:r>
            <w:r>
              <w:rPr>
                <w:rFonts w:hint="eastAsia"/>
                <w:color w:val="auto"/>
                <w:highlight w:val="none"/>
              </w:rPr>
              <w:t>）由于采购人工作的特殊性，中标人应做好相关工作人员的教育培训工作，严格遵守采购人的内部安全、保密等各项规定。</w:t>
            </w:r>
          </w:p>
          <w:p>
            <w:pPr>
              <w:ind w:firstLine="420" w:firstLineChars="200"/>
              <w:rPr>
                <w:rFonts w:hint="eastAsia"/>
                <w:color w:val="auto"/>
                <w:highlight w:val="none"/>
              </w:rPr>
            </w:pPr>
            <w:r>
              <w:rPr>
                <w:rFonts w:hint="eastAsia"/>
                <w:color w:val="auto"/>
                <w:highlight w:val="none"/>
              </w:rPr>
              <w:t>（</w:t>
            </w:r>
            <w:r>
              <w:rPr>
                <w:rFonts w:hint="eastAsia"/>
                <w:color w:val="auto"/>
                <w:highlight w:val="none"/>
                <w:lang w:val="en-US"/>
              </w:rPr>
              <w:t>9</w:t>
            </w:r>
            <w:r>
              <w:rPr>
                <w:rFonts w:hint="eastAsia"/>
                <w:color w:val="auto"/>
                <w:highlight w:val="none"/>
              </w:rPr>
              <w:t>）中标人除不可抗力等重大原因外，不得延迟送货。采购人确因特殊情况需推迟送货或提早送货的，须提前通知中标人。中标人延误交货时间的（采购人要求推迟的除外），采购人有权自行采购，中标人承担由此产生的一切费用及损失（包括直接经济损失和间接经济损失）。</w:t>
            </w:r>
          </w:p>
          <w:p>
            <w:pPr>
              <w:ind w:firstLine="420" w:firstLineChars="200"/>
              <w:rPr>
                <w:rFonts w:hint="eastAsia"/>
                <w:color w:val="auto"/>
                <w:highlight w:val="none"/>
              </w:rPr>
            </w:pPr>
            <w:r>
              <w:rPr>
                <w:rFonts w:hint="eastAsia"/>
                <w:color w:val="auto"/>
                <w:highlight w:val="none"/>
              </w:rPr>
              <w:t>（1</w:t>
            </w:r>
            <w:r>
              <w:rPr>
                <w:rFonts w:hint="eastAsia"/>
                <w:color w:val="auto"/>
                <w:highlight w:val="none"/>
                <w:lang w:val="en-US"/>
              </w:rPr>
              <w:t>0</w:t>
            </w:r>
            <w:r>
              <w:rPr>
                <w:rFonts w:hint="eastAsia"/>
                <w:color w:val="auto"/>
                <w:highlight w:val="none"/>
              </w:rPr>
              <w:t>）中标人不得随意变更供应食材，应严格按招标要求（包括商标、名称、产地、规格和重量等要求）供应，否则，采购人有权拒收。如因市场流通问题确实需要变更的，应书面向采购人申请。</w:t>
            </w:r>
          </w:p>
          <w:p>
            <w:pPr>
              <w:ind w:firstLine="420" w:firstLineChars="200"/>
              <w:rPr>
                <w:color w:val="auto"/>
                <w:highlight w:val="none"/>
                <w:lang w:val="en-US"/>
              </w:rPr>
            </w:pPr>
            <w:r>
              <w:rPr>
                <w:rFonts w:hint="eastAsia"/>
                <w:color w:val="auto"/>
                <w:highlight w:val="none"/>
              </w:rPr>
              <w:t>（1</w:t>
            </w:r>
            <w:r>
              <w:rPr>
                <w:rFonts w:hint="eastAsia"/>
                <w:color w:val="auto"/>
                <w:highlight w:val="none"/>
                <w:lang w:val="en-US"/>
              </w:rPr>
              <w:t>1</w:t>
            </w:r>
            <w:r>
              <w:rPr>
                <w:rFonts w:hint="eastAsia"/>
                <w:color w:val="auto"/>
                <w:highlight w:val="none"/>
              </w:rPr>
              <w:t>）中标人需具备自有运输车辆或租赁车辆，具备足够运输能力。投标人须投入运输配送车辆不少于</w:t>
            </w:r>
            <w:r>
              <w:rPr>
                <w:rFonts w:hint="eastAsia"/>
                <w:color w:val="auto"/>
                <w:highlight w:val="none"/>
                <w:lang w:val="en-US"/>
              </w:rPr>
              <w:t>20辆，并列明各个配送点车辆分配情况及运输人员投入名单。</w:t>
            </w:r>
            <w:r>
              <w:rPr>
                <w:color w:val="auto"/>
                <w:highlight w:val="none"/>
                <w:lang w:val="en-US"/>
              </w:rPr>
              <w:t>配送服务人员、配送车辆需要清晰可追溯，可追溯信息至少包括配送服务人员身份证、食品从业人员健康证明、配送运输车辆的行驶证及司机驾驶证等。投标文件中提供清晰可用的人员或车辆的溯源二维码及其展示的全部信息（提供具体实例展示，采购人有权进行核验，如核验结果不一致，所导致的全部风险由投标人自行承担）。</w:t>
            </w:r>
            <w:r>
              <w:rPr>
                <w:rFonts w:hint="eastAsia" w:eastAsia="宋体"/>
                <w:color w:val="auto"/>
                <w:highlight w:val="none"/>
                <w:lang w:val="en-US" w:eastAsia="zh-CN"/>
              </w:rPr>
              <w:t>如有疫情防控需要，需按疫情防控部门要求提供以下证明</w:t>
            </w:r>
            <w:r>
              <w:rPr>
                <w:color w:val="auto"/>
                <w:highlight w:val="none"/>
                <w:lang w:val="en-US"/>
              </w:rPr>
              <w:t>：</w:t>
            </w:r>
            <w:r>
              <w:rPr>
                <w:rFonts w:hint="eastAsia" w:eastAsia="宋体"/>
                <w:color w:val="auto"/>
                <w:highlight w:val="none"/>
                <w:lang w:val="en-US" w:eastAsia="zh-CN"/>
              </w:rPr>
              <w:t>1）</w:t>
            </w:r>
            <w:r>
              <w:rPr>
                <w:color w:val="auto"/>
                <w:highlight w:val="none"/>
                <w:lang w:val="en-US"/>
              </w:rPr>
              <w:t>能溯源到配送服务人员配送前最近一个月内任意一周的体温测量记录。</w:t>
            </w:r>
            <w:r>
              <w:rPr>
                <w:rFonts w:hint="eastAsia" w:eastAsia="宋体"/>
                <w:color w:val="auto"/>
                <w:highlight w:val="none"/>
                <w:lang w:val="en-US" w:eastAsia="zh-CN"/>
              </w:rPr>
              <w:t>2）</w:t>
            </w:r>
            <w:r>
              <w:rPr>
                <w:color w:val="auto"/>
                <w:highlight w:val="none"/>
                <w:lang w:val="en-US"/>
              </w:rPr>
              <w:t>视疫情情况，采购人有权要求中标人随时提供配送人员的核酸检测记录。</w:t>
            </w:r>
            <w:r>
              <w:rPr>
                <w:rFonts w:hint="eastAsia" w:eastAsia="宋体"/>
                <w:color w:val="auto"/>
                <w:highlight w:val="none"/>
                <w:lang w:val="en-US" w:eastAsia="zh-CN"/>
              </w:rPr>
              <w:t>3）</w:t>
            </w:r>
            <w:r>
              <w:rPr>
                <w:rFonts w:hint="eastAsia"/>
                <w:color w:val="auto"/>
                <w:highlight w:val="none"/>
                <w:lang w:val="en-US" w:eastAsia="zh-CN"/>
              </w:rPr>
              <w:t>中标人须按照相关疫情防控部门要求，严格遵守相关疫情防控规定，提供人员核酸检测证明。</w:t>
            </w:r>
            <w:r>
              <w:rPr>
                <w:color w:val="auto"/>
                <w:highlight w:val="none"/>
                <w:lang w:val="en-US"/>
              </w:rPr>
              <w:t>（须在投标文件中提供承诺函，承诺内容至少包含：溯源系统可以投入本项目使用，并能保障疫情防控的需要，所需费用由中标人</w:t>
            </w:r>
            <w:r>
              <w:rPr>
                <w:rFonts w:hint="eastAsia"/>
                <w:color w:val="auto"/>
                <w:highlight w:val="none"/>
                <w:lang w:val="en-US"/>
              </w:rPr>
              <w:t>自行</w:t>
            </w:r>
            <w:r>
              <w:rPr>
                <w:color w:val="auto"/>
                <w:highlight w:val="none"/>
                <w:lang w:val="en-US"/>
              </w:rPr>
              <w:t>承担。）</w:t>
            </w:r>
          </w:p>
          <w:p>
            <w:pPr>
              <w:ind w:firstLine="420" w:firstLineChars="200"/>
              <w:rPr>
                <w:rFonts w:hint="eastAsia"/>
                <w:color w:val="auto"/>
                <w:highlight w:val="none"/>
              </w:rPr>
            </w:pPr>
            <w:r>
              <w:rPr>
                <w:rFonts w:hint="eastAsia"/>
                <w:color w:val="auto"/>
                <w:highlight w:val="none"/>
              </w:rPr>
              <w:t>（1</w:t>
            </w:r>
            <w:r>
              <w:rPr>
                <w:rFonts w:hint="eastAsia"/>
                <w:color w:val="auto"/>
                <w:highlight w:val="none"/>
                <w:lang w:val="en-US"/>
              </w:rPr>
              <w:t>2</w:t>
            </w:r>
            <w:r>
              <w:rPr>
                <w:rFonts w:hint="eastAsia"/>
                <w:color w:val="auto"/>
                <w:highlight w:val="none"/>
              </w:rPr>
              <w:t>）投标人须承诺在中标后为本项目购买不少于人民币400万元/年，每次赔付不得少于人民币200万元，每人最高赔付不得少于人民币20万元的食品安全责任保险。保证本项目合同期在该保险期限内，并将该保险合同复印件作为签署项目合同的附件装订，否则采购人有权上报监管部门处理，由此引发的所有损失由中标人负责。</w:t>
            </w:r>
          </w:p>
          <w:p>
            <w:pPr>
              <w:ind w:firstLine="420" w:firstLineChars="200"/>
              <w:rPr>
                <w:rFonts w:hint="eastAsia"/>
                <w:color w:val="auto"/>
                <w:highlight w:val="none"/>
              </w:rPr>
            </w:pPr>
            <w:r>
              <w:rPr>
                <w:rFonts w:hint="eastAsia"/>
                <w:color w:val="auto"/>
                <w:highlight w:val="none"/>
              </w:rPr>
              <w:t>（1</w:t>
            </w:r>
            <w:r>
              <w:rPr>
                <w:rFonts w:hint="eastAsia"/>
                <w:color w:val="auto"/>
                <w:highlight w:val="none"/>
                <w:lang w:val="en-US"/>
              </w:rPr>
              <w:t>3</w:t>
            </w:r>
            <w:r>
              <w:rPr>
                <w:rFonts w:hint="eastAsia"/>
                <w:color w:val="auto"/>
                <w:highlight w:val="none"/>
              </w:rPr>
              <w:t>）投标报价包含食材价格、运输、装卸、售后服务、保险、搬运费、税金等一切费用。</w:t>
            </w:r>
          </w:p>
          <w:p>
            <w:pPr>
              <w:ind w:firstLine="420" w:firstLineChars="200"/>
              <w:rPr>
                <w:rFonts w:hint="eastAsia"/>
                <w:color w:val="auto"/>
                <w:highlight w:val="none"/>
              </w:rPr>
            </w:pPr>
            <w:r>
              <w:rPr>
                <w:rFonts w:hint="eastAsia"/>
                <w:color w:val="auto"/>
                <w:highlight w:val="none"/>
              </w:rPr>
              <w:t>（1</w:t>
            </w:r>
            <w:r>
              <w:rPr>
                <w:rFonts w:hint="eastAsia"/>
                <w:color w:val="auto"/>
                <w:highlight w:val="none"/>
                <w:lang w:val="en-US"/>
              </w:rPr>
              <w:t>4</w:t>
            </w:r>
            <w:r>
              <w:rPr>
                <w:rFonts w:hint="eastAsia"/>
                <w:color w:val="auto"/>
                <w:highlight w:val="none"/>
              </w:rPr>
              <w:t>）投标人必须拥有稳定可靠的食材供应基地（自有或租赁基地，提供相关证明文件）。鸡、鸭、鹅等禽类，水产类，投标人必须拥有自有或合作的养殖基地，保障货源来源于大型养殖场、生产供应基地，提供相关证明文件。</w:t>
            </w:r>
          </w:p>
          <w:p>
            <w:pPr>
              <w:ind w:firstLine="420" w:firstLineChars="200"/>
              <w:rPr>
                <w:rFonts w:hint="eastAsia"/>
                <w:color w:val="auto"/>
                <w:highlight w:val="none"/>
              </w:rPr>
            </w:pPr>
            <w:r>
              <w:rPr>
                <w:rFonts w:hint="eastAsia"/>
                <w:color w:val="auto"/>
                <w:highlight w:val="none"/>
              </w:rPr>
              <w:t>（1</w:t>
            </w:r>
            <w:r>
              <w:rPr>
                <w:rFonts w:hint="eastAsia"/>
                <w:color w:val="auto"/>
                <w:highlight w:val="none"/>
                <w:lang w:val="en-US"/>
              </w:rPr>
              <w:t>5</w:t>
            </w:r>
            <w:r>
              <w:rPr>
                <w:rFonts w:hint="eastAsia"/>
                <w:color w:val="auto"/>
                <w:highlight w:val="none"/>
              </w:rPr>
              <w:t>）投标人应有配送车间、保鲜仓库、冷藏仓库、干货仓库、农药残留检测室及相应仪器、冷藏配送车辆等设施设备。</w:t>
            </w:r>
          </w:p>
          <w:p>
            <w:pPr>
              <w:ind w:firstLine="420" w:firstLineChars="200"/>
              <w:rPr>
                <w:rFonts w:hint="eastAsia"/>
                <w:color w:val="auto"/>
                <w:highlight w:val="none"/>
              </w:rPr>
            </w:pPr>
            <w:r>
              <w:rPr>
                <w:rFonts w:hint="eastAsia"/>
                <w:color w:val="auto"/>
                <w:highlight w:val="none"/>
              </w:rPr>
              <w:t>（</w:t>
            </w:r>
            <w:r>
              <w:rPr>
                <w:rFonts w:hint="eastAsia"/>
                <w:color w:val="auto"/>
                <w:highlight w:val="none"/>
                <w:lang w:val="en-US"/>
              </w:rPr>
              <w:t>16</w:t>
            </w:r>
            <w:r>
              <w:rPr>
                <w:rFonts w:hint="eastAsia"/>
                <w:color w:val="auto"/>
                <w:highlight w:val="none"/>
              </w:rPr>
              <w:t>）中标人</w:t>
            </w:r>
            <w:r>
              <w:rPr>
                <w:rFonts w:hint="eastAsia" w:eastAsia="宋体"/>
                <w:color w:val="auto"/>
                <w:highlight w:val="none"/>
                <w:lang w:val="en-US" w:eastAsia="zh-CN"/>
              </w:rPr>
              <w:t>近三年</w:t>
            </w:r>
            <w:r>
              <w:rPr>
                <w:rFonts w:hint="eastAsia"/>
                <w:color w:val="auto"/>
                <w:highlight w:val="none"/>
              </w:rPr>
              <w:t>被投诉3次或造成安全（监管和食品卫生）事故的取消供应资格，并承担因此造成的损失责任。</w:t>
            </w:r>
          </w:p>
          <w:p>
            <w:pPr>
              <w:ind w:firstLine="420" w:firstLineChars="200"/>
              <w:rPr>
                <w:rFonts w:hint="eastAsia"/>
                <w:color w:val="auto"/>
                <w:highlight w:val="none"/>
              </w:rPr>
            </w:pPr>
            <w:r>
              <w:rPr>
                <w:rFonts w:hint="eastAsia"/>
                <w:color w:val="auto"/>
                <w:highlight w:val="none"/>
              </w:rPr>
              <w:t>（</w:t>
            </w:r>
            <w:r>
              <w:rPr>
                <w:rFonts w:hint="eastAsia"/>
                <w:color w:val="auto"/>
                <w:highlight w:val="none"/>
                <w:lang w:val="en-US"/>
              </w:rPr>
              <w:t>17</w:t>
            </w:r>
            <w:r>
              <w:rPr>
                <w:rFonts w:hint="eastAsia"/>
                <w:color w:val="auto"/>
                <w:highlight w:val="none"/>
              </w:rPr>
              <w:t>）食材溯源要求。中标人对食材供应链进行明确，所有食材的来源必须清晰，包装食材要有食品生产许可证。生产食材的源头与中标人要有固定的合法的供应关系，严禁收购非标准食材供应。投标文件要求对食材的来源和质量标准要有详尽的描述，并提出验收的行业标准和感官标准。如该品牌食材无质量标准，则需由投标人按国家和行业的要求自行描述。投标人须单独列明各类食材源头的地点（具体到门牌号）、联系人、联系电话，以备采购人追溯。食材来源可追溯信息至少包括食材来源供应商的营业执照、食材生产日期、保质期、仓储环境温湿度记录及消杀记录、食材质量检测报告等。投标文件中，提供清晰可用的标的物的溯源二维码及其展示的全部信息（提供具体实例展示，采购人有权进行核验，如核验结果不一致，所导致的全部风险由投标人自行承担）。</w:t>
            </w:r>
          </w:p>
          <w:p>
            <w:pPr>
              <w:ind w:firstLine="420" w:firstLineChars="200"/>
              <w:rPr>
                <w:color w:val="auto"/>
                <w:highlight w:val="none"/>
              </w:rPr>
            </w:pPr>
            <w:r>
              <w:rPr>
                <w:rFonts w:hint="eastAsia"/>
                <w:color w:val="auto"/>
                <w:highlight w:val="none"/>
              </w:rPr>
              <w:t>（</w:t>
            </w:r>
            <w:r>
              <w:rPr>
                <w:rFonts w:hint="eastAsia"/>
                <w:color w:val="auto"/>
                <w:highlight w:val="none"/>
                <w:lang w:val="en-US"/>
              </w:rPr>
              <w:t>18</w:t>
            </w:r>
            <w:r>
              <w:rPr>
                <w:rFonts w:hint="eastAsia"/>
                <w:color w:val="auto"/>
                <w:highlight w:val="none"/>
              </w:rPr>
              <w:t>）如果中标人放弃中标资格，或因不可抗力无法签订合同，经政府采购监管部门批准后，采购人可按推荐的中标候选人排名顺序确定第二名中标候选人为中标人，亦可决定组织重新招标。</w:t>
            </w:r>
          </w:p>
          <w:p>
            <w:pPr>
              <w:ind w:firstLine="420" w:firstLineChars="200"/>
              <w:rPr>
                <w:color w:val="auto"/>
                <w:highlight w:val="none"/>
              </w:rPr>
            </w:pPr>
            <w:r>
              <w:rPr>
                <w:rFonts w:hint="eastAsia"/>
                <w:color w:val="auto"/>
                <w:highlight w:val="none"/>
              </w:rPr>
              <w:t>（</w:t>
            </w:r>
            <w:r>
              <w:rPr>
                <w:rFonts w:hint="eastAsia"/>
                <w:color w:val="auto"/>
                <w:highlight w:val="none"/>
                <w:lang w:val="en-US"/>
              </w:rPr>
              <w:t>19</w:t>
            </w:r>
            <w:r>
              <w:rPr>
                <w:rFonts w:hint="eastAsia"/>
                <w:color w:val="auto"/>
                <w:highlight w:val="none"/>
              </w:rPr>
              <w:t>）如果中标人在合同签订前经采购人查证、或以其他方式取证证实其投标资料造假而被取消中标资格的，报政府采购监管部门并经批准后，采购人可按推荐的中标候选人排名顺序确定第二名中标候选人为中标人，亦可决定组织重新招标。</w:t>
            </w:r>
          </w:p>
        </w:tc>
      </w:tr>
    </w:tbl>
    <w:p>
      <w:pPr>
        <w:spacing w:before="267" w:line="360" w:lineRule="auto"/>
        <w:ind w:firstLine="15"/>
        <w:outlineLvl w:val="2"/>
        <w:rPr>
          <w:rFonts w:ascii="宋体" w:hAnsi="宋体" w:eastAsia="宋体" w:cs="宋体"/>
          <w:highlight w:val="none"/>
        </w:rPr>
      </w:pPr>
      <w:r>
        <w:rPr>
          <w:rFonts w:hint="eastAsia" w:ascii="宋体" w:hAnsi="宋体" w:eastAsia="宋体" w:cs="宋体"/>
          <w:highlight w:val="none"/>
        </w:rPr>
        <w:t>2.技术标准与要求</w:t>
      </w:r>
    </w:p>
    <w:tbl>
      <w:tblPr>
        <w:tblStyle w:val="8"/>
        <w:tblW w:w="500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
        <w:gridCol w:w="834"/>
        <w:gridCol w:w="1424"/>
        <w:gridCol w:w="1644"/>
        <w:gridCol w:w="358"/>
        <w:gridCol w:w="463"/>
        <w:gridCol w:w="1129"/>
        <w:gridCol w:w="1129"/>
        <w:gridCol w:w="682"/>
        <w:gridCol w:w="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78"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序序号</w:t>
            </w:r>
          </w:p>
        </w:tc>
        <w:tc>
          <w:tcPr>
            <w:tcW w:w="500"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核心产品（“△”）</w:t>
            </w:r>
          </w:p>
        </w:tc>
        <w:tc>
          <w:tcPr>
            <w:tcW w:w="854"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品目名称</w:t>
            </w:r>
          </w:p>
        </w:tc>
        <w:tc>
          <w:tcPr>
            <w:tcW w:w="986"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标的名称</w:t>
            </w:r>
          </w:p>
        </w:tc>
        <w:tc>
          <w:tcPr>
            <w:tcW w:w="215"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单位</w:t>
            </w:r>
          </w:p>
        </w:tc>
        <w:tc>
          <w:tcPr>
            <w:tcW w:w="278"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数量</w:t>
            </w:r>
          </w:p>
        </w:tc>
        <w:tc>
          <w:tcPr>
            <w:tcW w:w="677"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分项预算单价</w:t>
            </w:r>
          </w:p>
          <w:p>
            <w:pPr>
              <w:jc w:val="center"/>
              <w:rPr>
                <w:rFonts w:ascii="宋体" w:hAnsi="宋体" w:eastAsia="宋体" w:cs="宋体"/>
                <w:highlight w:val="none"/>
              </w:rPr>
            </w:pPr>
            <w:r>
              <w:rPr>
                <w:rFonts w:hint="eastAsia" w:ascii="宋体" w:hAnsi="宋体" w:eastAsia="宋体" w:cs="宋体"/>
                <w:highlight w:val="none"/>
              </w:rPr>
              <w:t>（元）</w:t>
            </w:r>
          </w:p>
        </w:tc>
        <w:tc>
          <w:tcPr>
            <w:tcW w:w="677"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分项预算总价</w:t>
            </w:r>
          </w:p>
          <w:p>
            <w:pPr>
              <w:jc w:val="center"/>
              <w:rPr>
                <w:rFonts w:ascii="宋体" w:hAnsi="宋体" w:eastAsia="宋体" w:cs="宋体"/>
                <w:highlight w:val="none"/>
              </w:rPr>
            </w:pPr>
            <w:r>
              <w:rPr>
                <w:rFonts w:hint="eastAsia" w:ascii="宋体" w:hAnsi="宋体" w:eastAsia="宋体" w:cs="宋体"/>
                <w:highlight w:val="none"/>
              </w:rPr>
              <w:t>（元）</w:t>
            </w:r>
          </w:p>
        </w:tc>
        <w:tc>
          <w:tcPr>
            <w:tcW w:w="409"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所属行业</w:t>
            </w:r>
          </w:p>
        </w:tc>
        <w:tc>
          <w:tcPr>
            <w:tcW w:w="220"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26" w:hRule="atLeast"/>
        </w:trPr>
        <w:tc>
          <w:tcPr>
            <w:tcW w:w="178" w:type="pct"/>
            <w:vAlign w:val="center"/>
          </w:tcPr>
          <w:p>
            <w:pPr>
              <w:jc w:val="center"/>
              <w:rPr>
                <w:rFonts w:ascii="宋体" w:hAnsi="宋体" w:eastAsia="宋体" w:cs="宋体"/>
                <w:highlight w:val="none"/>
              </w:rPr>
            </w:pPr>
            <w:r>
              <w:rPr>
                <w:rFonts w:hint="eastAsia" w:ascii="宋体" w:hAnsi="宋体" w:eastAsia="宋体" w:cs="宋体"/>
                <w:highlight w:val="none"/>
              </w:rPr>
              <w:t>1</w:t>
            </w:r>
          </w:p>
        </w:tc>
        <w:tc>
          <w:tcPr>
            <w:tcW w:w="500" w:type="pct"/>
            <w:vAlign w:val="center"/>
          </w:tcPr>
          <w:p>
            <w:pPr>
              <w:jc w:val="center"/>
              <w:rPr>
                <w:rFonts w:ascii="宋体" w:hAnsi="宋体" w:eastAsia="宋体" w:cs="宋体"/>
                <w:highlight w:val="none"/>
              </w:rPr>
            </w:pPr>
          </w:p>
        </w:tc>
        <w:tc>
          <w:tcPr>
            <w:tcW w:w="854" w:type="pct"/>
            <w:vAlign w:val="center"/>
          </w:tcPr>
          <w:p>
            <w:pPr>
              <w:jc w:val="center"/>
              <w:rPr>
                <w:rFonts w:ascii="宋体" w:hAnsi="宋体" w:eastAsia="宋体" w:cs="宋体"/>
                <w:highlight w:val="none"/>
              </w:rPr>
            </w:pPr>
            <w:r>
              <w:rPr>
                <w:rFonts w:ascii="宋体" w:hAnsi="宋体" w:eastAsia="宋体" w:cs="宋体"/>
                <w:highlight w:val="none"/>
              </w:rPr>
              <w:t>其他农作物副产 品</w:t>
            </w:r>
          </w:p>
        </w:tc>
        <w:tc>
          <w:tcPr>
            <w:tcW w:w="986" w:type="pct"/>
            <w:vAlign w:val="center"/>
          </w:tcPr>
          <w:p>
            <w:pPr>
              <w:jc w:val="center"/>
              <w:rPr>
                <w:rFonts w:ascii="宋体" w:hAnsi="宋体" w:eastAsia="宋体" w:cs="宋体"/>
                <w:highlight w:val="none"/>
              </w:rPr>
            </w:pPr>
            <w:r>
              <w:rPr>
                <w:rFonts w:ascii="宋体" w:cs="宋体"/>
                <w:bCs/>
                <w:sz w:val="24"/>
                <w:szCs w:val="24"/>
                <w:highlight w:val="none"/>
              </w:rPr>
              <w:t>广州市公安局增城区分局202</w:t>
            </w:r>
            <w:r>
              <w:rPr>
                <w:rFonts w:hint="eastAsia" w:ascii="宋体" w:cs="宋体"/>
                <w:bCs/>
                <w:sz w:val="24"/>
                <w:szCs w:val="24"/>
                <w:highlight w:val="none"/>
                <w:lang w:val="en-US" w:eastAsia="zh-CN"/>
              </w:rPr>
              <w:t>3</w:t>
            </w:r>
            <w:r>
              <w:rPr>
                <w:rFonts w:ascii="宋体" w:cs="宋体"/>
                <w:bCs/>
                <w:sz w:val="24"/>
                <w:szCs w:val="24"/>
                <w:highlight w:val="none"/>
              </w:rPr>
              <w:t>年饭堂食材采购</w:t>
            </w:r>
            <w:r>
              <w:rPr>
                <w:rFonts w:hint="eastAsia" w:ascii="宋体" w:eastAsia="宋体" w:cs="宋体"/>
                <w:bCs/>
                <w:sz w:val="24"/>
                <w:szCs w:val="24"/>
                <w:highlight w:val="none"/>
                <w:lang w:eastAsia="zh-CN"/>
              </w:rPr>
              <w:t>（</w:t>
            </w:r>
            <w:r>
              <w:rPr>
                <w:rFonts w:hint="eastAsia" w:ascii="宋体" w:eastAsia="宋体" w:cs="宋体"/>
                <w:bCs/>
                <w:sz w:val="24"/>
                <w:szCs w:val="24"/>
                <w:highlight w:val="none"/>
                <w:lang w:val="en-US" w:eastAsia="zh-CN"/>
              </w:rPr>
              <w:t>北部片区</w:t>
            </w:r>
            <w:r>
              <w:rPr>
                <w:rFonts w:hint="eastAsia" w:ascii="宋体" w:eastAsia="宋体" w:cs="宋体"/>
                <w:bCs/>
                <w:sz w:val="24"/>
                <w:szCs w:val="24"/>
                <w:highlight w:val="none"/>
                <w:lang w:eastAsia="zh-CN"/>
              </w:rPr>
              <w:t>）</w:t>
            </w:r>
          </w:p>
        </w:tc>
        <w:tc>
          <w:tcPr>
            <w:tcW w:w="215" w:type="pct"/>
            <w:vAlign w:val="center"/>
          </w:tcPr>
          <w:p>
            <w:pPr>
              <w:jc w:val="center"/>
              <w:rPr>
                <w:rFonts w:ascii="宋体" w:hAnsi="宋体" w:eastAsia="宋体" w:cs="宋体"/>
                <w:highlight w:val="none"/>
              </w:rPr>
            </w:pPr>
            <w:r>
              <w:rPr>
                <w:rFonts w:hint="eastAsia" w:ascii="宋体" w:hAnsi="宋体" w:eastAsia="宋体" w:cs="宋体"/>
                <w:highlight w:val="none"/>
              </w:rPr>
              <w:t>项</w:t>
            </w:r>
          </w:p>
        </w:tc>
        <w:tc>
          <w:tcPr>
            <w:tcW w:w="278" w:type="pct"/>
            <w:vAlign w:val="center"/>
          </w:tcPr>
          <w:p>
            <w:pPr>
              <w:jc w:val="center"/>
              <w:rPr>
                <w:rFonts w:ascii="宋体" w:hAnsi="宋体" w:eastAsia="宋体" w:cs="宋体"/>
                <w:highlight w:val="none"/>
              </w:rPr>
            </w:pPr>
            <w:r>
              <w:rPr>
                <w:rFonts w:hint="eastAsia" w:ascii="宋体" w:hAnsi="宋体" w:eastAsia="宋体" w:cs="宋体"/>
                <w:highlight w:val="none"/>
              </w:rPr>
              <w:t>1.00</w:t>
            </w:r>
          </w:p>
        </w:tc>
        <w:tc>
          <w:tcPr>
            <w:tcW w:w="677" w:type="pct"/>
            <w:vAlign w:val="center"/>
          </w:tcPr>
          <w:p>
            <w:pPr>
              <w:jc w:val="center"/>
              <w:rPr>
                <w:rFonts w:ascii="宋体" w:hAnsi="宋体" w:eastAsia="宋体" w:cs="宋体"/>
                <w:highlight w:val="none"/>
              </w:rPr>
            </w:pPr>
            <w:r>
              <w:rPr>
                <w:rFonts w:hint="eastAsia" w:ascii="宋体" w:cs="宋体"/>
                <w:bCs/>
                <w:sz w:val="24"/>
                <w:szCs w:val="24"/>
                <w:highlight w:val="none"/>
                <w:lang w:val="en-US" w:eastAsia="zh-CN"/>
              </w:rPr>
              <w:t>10,510,800</w:t>
            </w:r>
          </w:p>
        </w:tc>
        <w:tc>
          <w:tcPr>
            <w:tcW w:w="677" w:type="pct"/>
            <w:vAlign w:val="center"/>
          </w:tcPr>
          <w:p>
            <w:pPr>
              <w:jc w:val="center"/>
              <w:rPr>
                <w:rFonts w:ascii="宋体" w:hAnsi="宋体" w:eastAsia="宋体" w:cs="宋体"/>
                <w:highlight w:val="none"/>
              </w:rPr>
            </w:pPr>
            <w:r>
              <w:rPr>
                <w:rFonts w:hint="eastAsia" w:ascii="宋体" w:cs="宋体"/>
                <w:bCs/>
                <w:sz w:val="24"/>
                <w:szCs w:val="24"/>
                <w:highlight w:val="none"/>
                <w:lang w:val="en-US" w:eastAsia="zh-CN"/>
              </w:rPr>
              <w:t>10,510,800</w:t>
            </w:r>
          </w:p>
        </w:tc>
        <w:tc>
          <w:tcPr>
            <w:tcW w:w="409" w:type="pct"/>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批发业</w:t>
            </w:r>
          </w:p>
        </w:tc>
        <w:tc>
          <w:tcPr>
            <w:tcW w:w="220" w:type="pct"/>
            <w:vAlign w:val="center"/>
          </w:tcPr>
          <w:p>
            <w:pPr>
              <w:jc w:val="center"/>
              <w:rPr>
                <w:rFonts w:ascii="宋体" w:hAnsi="宋体" w:eastAsia="宋体" w:cs="宋体"/>
                <w:highlight w:val="none"/>
              </w:rPr>
            </w:pPr>
            <w:r>
              <w:rPr>
                <w:rFonts w:hint="eastAsia" w:ascii="宋体" w:hAnsi="宋体" w:eastAsia="宋体" w:cs="宋体"/>
                <w:highlight w:val="none"/>
              </w:rPr>
              <w:t>详见附表一</w:t>
            </w:r>
          </w:p>
        </w:tc>
      </w:tr>
    </w:tbl>
    <w:p>
      <w:pPr>
        <w:spacing w:before="147" w:line="360" w:lineRule="auto"/>
        <w:ind w:firstLine="391"/>
        <w:rPr>
          <w:rFonts w:ascii="宋体" w:hAnsi="宋体" w:eastAsia="宋体" w:cs="宋体"/>
          <w:highlight w:val="none"/>
        </w:rPr>
      </w:pPr>
      <w:r>
        <w:rPr>
          <w:rFonts w:hint="eastAsia" w:ascii="宋体" w:hAnsi="宋体" w:eastAsia="宋体" w:cs="宋体"/>
          <w:spacing w:val="-1"/>
          <w:highlight w:val="none"/>
        </w:rPr>
        <w:t>注：若存在多项核心产品，当不同供应商提供的任意一项核心产品的品牌相同，则视同其是所响应核心产品品牌相同供应</w:t>
      </w:r>
      <w:r>
        <w:rPr>
          <w:rFonts w:hint="eastAsia" w:ascii="宋体" w:hAnsi="宋体" w:eastAsia="宋体" w:cs="宋体"/>
          <w:spacing w:val="-5"/>
          <w:highlight w:val="none"/>
        </w:rPr>
        <w:t>商。</w:t>
      </w:r>
    </w:p>
    <w:p>
      <w:pPr>
        <w:spacing w:before="312" w:line="360" w:lineRule="auto"/>
        <w:ind w:firstLine="16"/>
        <w:rPr>
          <w:rFonts w:ascii="宋体" w:hAnsi="宋体" w:eastAsia="宋体" w:cs="宋体"/>
          <w:highlight w:val="none"/>
        </w:rPr>
      </w:pPr>
      <w:r>
        <w:rPr>
          <w:rFonts w:hint="eastAsia" w:ascii="宋体" w:hAnsi="宋体" w:eastAsia="宋体" w:cs="宋体"/>
          <w:spacing w:val="12"/>
          <w:highlight w:val="none"/>
        </w:rPr>
        <w:t>附表一：</w:t>
      </w:r>
      <w:r>
        <w:rPr>
          <w:rFonts w:hint="eastAsia" w:ascii="宋体" w:hAnsi="宋体" w:eastAsia="宋体" w:cs="宋体"/>
          <w:b/>
          <w:bCs/>
          <w:spacing w:val="-1"/>
          <w:highlight w:val="none"/>
        </w:rPr>
        <w:t>（广州市公安局增城区分局202</w:t>
      </w:r>
      <w:r>
        <w:rPr>
          <w:rFonts w:hint="eastAsia" w:ascii="宋体" w:hAnsi="宋体" w:eastAsia="宋体" w:cs="宋体"/>
          <w:b/>
          <w:bCs/>
          <w:spacing w:val="-1"/>
          <w:highlight w:val="none"/>
          <w:lang w:val="en-US" w:eastAsia="zh-CN"/>
        </w:rPr>
        <w:t>3</w:t>
      </w:r>
      <w:r>
        <w:rPr>
          <w:rFonts w:hint="eastAsia" w:ascii="宋体" w:hAnsi="宋体" w:eastAsia="宋体" w:cs="宋体"/>
          <w:b/>
          <w:bCs/>
          <w:spacing w:val="-1"/>
          <w:highlight w:val="none"/>
        </w:rPr>
        <w:t>年饭堂食材采购）</w:t>
      </w:r>
    </w:p>
    <w:tbl>
      <w:tblPr>
        <w:tblStyle w:val="8"/>
        <w:tblW w:w="517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8"/>
        <w:gridCol w:w="419"/>
        <w:gridCol w:w="7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306" w:type="pct"/>
            <w:shd w:val="clear" w:color="auto" w:fill="F5F5F5"/>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参数性质</w:t>
            </w:r>
          </w:p>
        </w:tc>
        <w:tc>
          <w:tcPr>
            <w:tcW w:w="243" w:type="pct"/>
            <w:shd w:val="clear" w:color="auto" w:fill="F5F5F5"/>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序号</w:t>
            </w:r>
          </w:p>
        </w:tc>
        <w:tc>
          <w:tcPr>
            <w:tcW w:w="4449" w:type="pct"/>
            <w:shd w:val="clear" w:color="auto" w:fill="F5F5F5"/>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具体技术(参数)要求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8" w:hRule="atLeast"/>
        </w:trPr>
        <w:tc>
          <w:tcPr>
            <w:tcW w:w="306" w:type="pct"/>
            <w:vAlign w:val="center"/>
          </w:tcPr>
          <w:p>
            <w:pPr>
              <w:pStyle w:val="9"/>
              <w:spacing w:before="60" w:line="379" w:lineRule="auto"/>
              <w:ind w:left="130" w:leftChars="0" w:right="140" w:rightChars="0"/>
              <w:jc w:val="center"/>
              <w:rPr>
                <w:rFonts w:ascii="宋体" w:hAnsi="宋体" w:eastAsia="宋体" w:cs="宋体"/>
                <w:highlight w:val="none"/>
              </w:rPr>
            </w:pPr>
            <w:r>
              <w:rPr>
                <w:color w:val="auto"/>
                <w:sz w:val="24"/>
                <w:szCs w:val="24"/>
                <w:highlight w:val="none"/>
              </w:rPr>
              <w:t>★</w:t>
            </w:r>
          </w:p>
        </w:tc>
        <w:tc>
          <w:tcPr>
            <w:tcW w:w="243" w:type="pct"/>
            <w:vAlign w:val="center"/>
          </w:tcPr>
          <w:p>
            <w:pPr>
              <w:pStyle w:val="9"/>
              <w:numPr>
                <w:ilvl w:val="0"/>
                <w:numId w:val="3"/>
              </w:numPr>
              <w:spacing w:before="60" w:line="379" w:lineRule="auto"/>
              <w:ind w:left="425" w:leftChars="0" w:right="140" w:rightChars="0" w:hanging="425" w:firstLineChars="0"/>
              <w:jc w:val="center"/>
              <w:rPr>
                <w:rFonts w:ascii="宋体" w:hAnsi="宋体" w:eastAsia="宋体" w:cs="宋体"/>
                <w:highlight w:val="none"/>
              </w:rPr>
            </w:pPr>
          </w:p>
        </w:tc>
        <w:tc>
          <w:tcPr>
            <w:tcW w:w="4449" w:type="pct"/>
            <w:vAlign w:val="top"/>
          </w:tcPr>
          <w:p>
            <w:pPr>
              <w:pStyle w:val="9"/>
              <w:adjustRightInd w:val="0"/>
              <w:snapToGrid w:val="0"/>
              <w:spacing w:line="276" w:lineRule="auto"/>
              <w:ind w:left="100" w:leftChars="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采购人有权在采购预算中预留上级部门规定年度预算份额，用于通过“政府采购贫困地区农副产品网络销售平台”（即“国家832扶贫平台”）采购农副产品，投标人必须承诺无条件配合采购人保留年度预算份额，具体采购产品类别、数量、预算、采购时间及结算方式等由采购人自行决定。“国家832扶贫平台”采购农副产品，结算按照“国家832扶贫平台”上公示的价格进行，结算金额=国家832扶贫平台公示单价×实际供货量。当采购人提出需要在“国家832扶贫平台”采购的要求时，中标人不得无理由拒绝，否则视为存在供货质量问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trPr>
        <w:tc>
          <w:tcPr>
            <w:tcW w:w="306" w:type="pct"/>
            <w:vAlign w:val="center"/>
          </w:tcPr>
          <w:p>
            <w:pPr>
              <w:pStyle w:val="9"/>
              <w:spacing w:before="60" w:line="379" w:lineRule="auto"/>
              <w:ind w:left="130" w:leftChars="0" w:right="140" w:rightChars="0"/>
              <w:jc w:val="center"/>
              <w:rPr>
                <w:color w:val="auto"/>
                <w:sz w:val="24"/>
                <w:szCs w:val="24"/>
                <w:highlight w:val="none"/>
              </w:rPr>
            </w:pPr>
            <w:r>
              <w:rPr>
                <w:rFonts w:hint="eastAsia"/>
                <w:b w:val="0"/>
                <w:color w:val="auto"/>
                <w:sz w:val="24"/>
                <w:szCs w:val="24"/>
                <w:highlight w:val="none"/>
              </w:rPr>
              <w:t>★</w:t>
            </w:r>
          </w:p>
        </w:tc>
        <w:tc>
          <w:tcPr>
            <w:tcW w:w="243" w:type="pct"/>
            <w:vAlign w:val="center"/>
          </w:tcPr>
          <w:p>
            <w:pPr>
              <w:pStyle w:val="9"/>
              <w:numPr>
                <w:ilvl w:val="0"/>
                <w:numId w:val="3"/>
              </w:numPr>
              <w:spacing w:before="60" w:line="379" w:lineRule="auto"/>
              <w:ind w:left="425" w:leftChars="0" w:right="140" w:rightChars="0" w:hanging="425" w:firstLineChars="0"/>
              <w:jc w:val="center"/>
              <w:rPr>
                <w:rFonts w:ascii="宋体" w:hAnsi="宋体" w:eastAsia="宋体" w:cs="宋体"/>
                <w:highlight w:val="none"/>
              </w:rPr>
            </w:pPr>
          </w:p>
        </w:tc>
        <w:tc>
          <w:tcPr>
            <w:tcW w:w="4449" w:type="pct"/>
            <w:vAlign w:val="top"/>
          </w:tcPr>
          <w:p>
            <w:pPr>
              <w:pStyle w:val="9"/>
              <w:adjustRightInd w:val="0"/>
              <w:snapToGrid w:val="0"/>
              <w:spacing w:line="276" w:lineRule="auto"/>
              <w:ind w:left="1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其他</w:t>
            </w:r>
          </w:p>
          <w:p>
            <w:pPr>
              <w:pStyle w:val="9"/>
              <w:adjustRightInd w:val="0"/>
              <w:snapToGrid w:val="0"/>
              <w:spacing w:line="276" w:lineRule="auto"/>
              <w:ind w:left="100" w:leftChars="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★（4）中标人所供应的食材必须符合国家有关标准，保证无异味、无霉烂变质，如不符合招标文件所描述的质量标准，必须接受无偿退货并承担相应违约责任（须提交承诺函，格式自拟）。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8" w:hRule="atLeast"/>
        </w:trPr>
        <w:tc>
          <w:tcPr>
            <w:tcW w:w="306" w:type="pct"/>
            <w:vAlign w:val="center"/>
          </w:tcPr>
          <w:p>
            <w:pPr>
              <w:pStyle w:val="9"/>
              <w:spacing w:before="60" w:line="379" w:lineRule="auto"/>
              <w:ind w:left="130" w:leftChars="0" w:right="140" w:rightChars="0"/>
              <w:jc w:val="center"/>
              <w:rPr>
                <w:color w:val="auto"/>
                <w:sz w:val="24"/>
                <w:szCs w:val="24"/>
                <w:highlight w:val="none"/>
              </w:rPr>
            </w:pPr>
            <w:r>
              <w:rPr>
                <w:rFonts w:hint="eastAsia"/>
                <w:color w:val="auto"/>
                <w:sz w:val="24"/>
                <w:szCs w:val="24"/>
                <w:highlight w:val="none"/>
              </w:rPr>
              <w:t>★</w:t>
            </w:r>
          </w:p>
        </w:tc>
        <w:tc>
          <w:tcPr>
            <w:tcW w:w="243" w:type="pct"/>
            <w:vAlign w:val="center"/>
          </w:tcPr>
          <w:p>
            <w:pPr>
              <w:pStyle w:val="9"/>
              <w:numPr>
                <w:ilvl w:val="0"/>
                <w:numId w:val="3"/>
              </w:numPr>
              <w:spacing w:before="60" w:line="379" w:lineRule="auto"/>
              <w:ind w:left="425" w:leftChars="0" w:right="140" w:rightChars="0" w:hanging="425" w:firstLineChars="0"/>
              <w:jc w:val="center"/>
              <w:rPr>
                <w:rFonts w:ascii="宋体" w:hAnsi="宋体" w:eastAsia="宋体" w:cs="宋体"/>
                <w:highlight w:val="none"/>
              </w:rPr>
            </w:pPr>
          </w:p>
        </w:tc>
        <w:tc>
          <w:tcPr>
            <w:tcW w:w="4449" w:type="pct"/>
            <w:vAlign w:val="top"/>
          </w:tcPr>
          <w:p>
            <w:pPr>
              <w:pStyle w:val="9"/>
              <w:adjustRightInd w:val="0"/>
              <w:snapToGrid w:val="0"/>
              <w:spacing w:line="276" w:lineRule="auto"/>
              <w:ind w:left="100" w:leftChars="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报价要求及定价方式</w:t>
            </w:r>
          </w:p>
          <w:p>
            <w:pPr>
              <w:pStyle w:val="9"/>
              <w:adjustRightInd w:val="0"/>
              <w:snapToGrid w:val="0"/>
              <w:spacing w:line="276" w:lineRule="auto"/>
              <w:ind w:left="100" w:leftChars="0" w:firstLine="416"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（一）本项目食材采购类别包括①蛋肉类、②粮油面类、③瓜果蔬菜类、④冻品类、⑤干货和腊味类、⑥调味品和配料类、⑦水果。</w:t>
            </w:r>
            <w:r>
              <w:rPr>
                <w:rFonts w:hint="eastAsia" w:ascii="宋体" w:hAnsi="宋体" w:eastAsia="宋体" w:cs="宋体"/>
                <w:b/>
                <w:bCs/>
                <w:smallCaps w:val="0"/>
                <w:snapToGrid w:val="0"/>
                <w:color w:val="000000"/>
                <w:spacing w:val="-1"/>
                <w:sz w:val="21"/>
                <w:szCs w:val="21"/>
                <w:highlight w:val="none"/>
                <w:lang w:val="en-US" w:eastAsia="zh-CN" w:bidi="ar-SA"/>
              </w:rPr>
              <w:t>投标人报价为折扣率报价（0＜折扣率报价≤100% ，折扣率报价确定且为固定唯一值），统一报出一个适用于所有采购类别的报价，费用支付以实际供货量结算为准。</w:t>
            </w:r>
          </w:p>
          <w:p>
            <w:pPr>
              <w:pStyle w:val="9"/>
              <w:adjustRightInd w:val="0"/>
              <w:snapToGrid w:val="0"/>
              <w:spacing w:line="276" w:lineRule="auto"/>
              <w:ind w:left="100" w:leftChars="0" w:firstLine="416"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（二）中标人在供应过程中以中标折扣率为执行标准。</w:t>
            </w:r>
          </w:p>
          <w:p>
            <w:pPr>
              <w:pStyle w:val="9"/>
              <w:adjustRightInd w:val="0"/>
              <w:snapToGrid w:val="0"/>
              <w:spacing w:line="276" w:lineRule="auto"/>
              <w:ind w:left="100" w:leftChars="0" w:firstLine="416"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（三）定价方式</w:t>
            </w:r>
          </w:p>
          <w:p>
            <w:pPr>
              <w:pStyle w:val="9"/>
              <w:adjustRightInd w:val="0"/>
              <w:snapToGrid w:val="0"/>
              <w:spacing w:line="276" w:lineRule="auto"/>
              <w:ind w:left="100" w:leftChars="0" w:firstLine="416"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eastAsia="宋体" w:cs="宋体"/>
                <w:b w:val="0"/>
                <w:smallCaps w:val="0"/>
                <w:snapToGrid w:val="0"/>
                <w:color w:val="000000"/>
                <w:spacing w:val="-1"/>
                <w:sz w:val="21"/>
                <w:szCs w:val="21"/>
                <w:highlight w:val="none"/>
                <w:lang w:val="en-US" w:eastAsia="zh-CN" w:bidi="ar-SA"/>
              </w:rPr>
              <w:t>1.</w:t>
            </w:r>
            <w:r>
              <w:rPr>
                <w:rFonts w:hint="eastAsia" w:ascii="宋体" w:hAnsi="宋体" w:eastAsia="宋体" w:cs="宋体"/>
                <w:b w:val="0"/>
                <w:smallCaps w:val="0"/>
                <w:snapToGrid w:val="0"/>
                <w:color w:val="000000"/>
                <w:spacing w:val="-1"/>
                <w:sz w:val="21"/>
                <w:szCs w:val="21"/>
                <w:highlight w:val="none"/>
                <w:lang w:val="en-US" w:eastAsia="zh-CN" w:bidi="ar-SA"/>
              </w:rPr>
              <w:t>定价时间以10天为周期，价格均以当月（1日、11日、21日）广州市发展和改革委员会网站内的广州市菜篮子价格栏目公布的“周边5区菜篮子平均零售价格和米袋子行情价格”中食材价格经采购人审核后作为基准价；</w:t>
            </w:r>
          </w:p>
          <w:p>
            <w:pPr>
              <w:pStyle w:val="9"/>
              <w:adjustRightInd w:val="0"/>
              <w:snapToGrid w:val="0"/>
              <w:spacing w:line="276" w:lineRule="auto"/>
              <w:ind w:left="100" w:leftChars="0" w:firstLine="416"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eastAsia="宋体" w:cs="宋体"/>
                <w:b w:val="0"/>
                <w:smallCaps w:val="0"/>
                <w:snapToGrid w:val="0"/>
                <w:color w:val="000000"/>
                <w:spacing w:val="-1"/>
                <w:sz w:val="21"/>
                <w:szCs w:val="21"/>
                <w:highlight w:val="none"/>
                <w:lang w:val="en-US" w:eastAsia="zh-CN" w:bidi="ar-SA"/>
              </w:rPr>
              <w:t>2.</w:t>
            </w:r>
            <w:r>
              <w:rPr>
                <w:rFonts w:hint="eastAsia" w:ascii="宋体" w:hAnsi="宋体" w:eastAsia="宋体" w:cs="宋体"/>
                <w:b w:val="0"/>
                <w:smallCaps w:val="0"/>
                <w:snapToGrid w:val="0"/>
                <w:color w:val="000000"/>
                <w:spacing w:val="-1"/>
                <w:sz w:val="21"/>
                <w:szCs w:val="21"/>
                <w:highlight w:val="none"/>
                <w:lang w:val="en-US" w:eastAsia="zh-CN" w:bidi="ar-SA"/>
              </w:rPr>
              <w:t>广州市发展和改革委员会网站中（广州市菜篮子价格：“周边5区菜篮子平均零售价格和米袋子行情价格”）未公布的品种，以定价日当天广州市菜篮子价格栏目（全市菜篮子平均零售价或中心城区菜篮子平均零售价或全市32种蔬菜平均零售价或水果和牛奶栏目）公布的最低食材价格（按品种查询）并经采购人审核后作为基准价；</w:t>
            </w:r>
          </w:p>
          <w:p>
            <w:pPr>
              <w:pStyle w:val="9"/>
              <w:adjustRightInd w:val="0"/>
              <w:snapToGrid w:val="0"/>
              <w:spacing w:line="276" w:lineRule="auto"/>
              <w:ind w:left="100" w:leftChars="0" w:firstLine="416"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eastAsia="宋体" w:cs="宋体"/>
                <w:b w:val="0"/>
                <w:smallCaps w:val="0"/>
                <w:snapToGrid w:val="0"/>
                <w:color w:val="000000"/>
                <w:spacing w:val="-1"/>
                <w:sz w:val="21"/>
                <w:szCs w:val="21"/>
                <w:highlight w:val="none"/>
                <w:lang w:val="en-US" w:eastAsia="zh-CN" w:bidi="ar-SA"/>
              </w:rPr>
              <w:t>3.</w:t>
            </w:r>
            <w:r>
              <w:rPr>
                <w:rFonts w:hint="eastAsia" w:ascii="宋体" w:hAnsi="宋体" w:eastAsia="宋体" w:cs="宋体"/>
                <w:b w:val="0"/>
                <w:smallCaps w:val="0"/>
                <w:snapToGrid w:val="0"/>
                <w:color w:val="000000"/>
                <w:spacing w:val="-1"/>
                <w:sz w:val="21"/>
                <w:szCs w:val="21"/>
                <w:highlight w:val="none"/>
                <w:lang w:val="en-US" w:eastAsia="zh-CN" w:bidi="ar-SA"/>
              </w:rPr>
              <w:t>广州市菜篮子价格栏目未公布食材价格的或者同类食材不同质量的</w:t>
            </w:r>
            <w:r>
              <w:rPr>
                <w:rFonts w:hint="eastAsia" w:ascii="宋体" w:hAnsi="宋体" w:eastAsia="宋体" w:cs="宋体"/>
                <w:b/>
                <w:bCs/>
                <w:smallCaps w:val="0"/>
                <w:snapToGrid w:val="0"/>
                <w:color w:val="000000"/>
                <w:spacing w:val="-1"/>
                <w:sz w:val="21"/>
                <w:szCs w:val="21"/>
                <w:highlight w:val="none"/>
                <w:lang w:val="en-US" w:eastAsia="zh-CN" w:bidi="ar-SA"/>
              </w:rPr>
              <w:t>以增城区辖区内大润发、华润万家、永旺超市、好又多、百佳永辉、万和超市、世纪华联超市</w:t>
            </w:r>
            <w:r>
              <w:rPr>
                <w:rFonts w:hint="eastAsia" w:ascii="宋体" w:hAnsi="宋体" w:eastAsia="宋体" w:cs="宋体"/>
                <w:b w:val="0"/>
                <w:smallCaps w:val="0"/>
                <w:snapToGrid w:val="0"/>
                <w:color w:val="000000"/>
                <w:spacing w:val="-1"/>
                <w:sz w:val="21"/>
                <w:szCs w:val="21"/>
                <w:highlight w:val="none"/>
                <w:lang w:val="en-US" w:eastAsia="zh-CN" w:bidi="ar-SA"/>
              </w:rPr>
              <w:t>，以其中采购人指定的任一家超市或者周边具有经营许可证的食材市场预包装的同品牌相同规格商品（没有预包装的，则按照同品牌质量相当的）零售价格作为基准价，定价时间以一个月为周期（定价日以采购人审核确定的日期为准），中标人应于定价日当天12点前采集价格数据并提交书面证明材料，经采购人审核后作为定价日当月的基准价。</w:t>
            </w:r>
          </w:p>
          <w:p>
            <w:pPr>
              <w:pStyle w:val="9"/>
              <w:adjustRightInd w:val="0"/>
              <w:snapToGrid w:val="0"/>
              <w:spacing w:line="276" w:lineRule="auto"/>
              <w:ind w:left="100" w:leftChars="0" w:firstLine="418" w:firstLineChars="200"/>
              <w:rPr>
                <w:rFonts w:hint="eastAsia"/>
                <w:b w:val="0"/>
                <w:color w:val="auto"/>
                <w:sz w:val="24"/>
                <w:szCs w:val="24"/>
                <w:highlight w:val="none"/>
              </w:rPr>
            </w:pPr>
            <w:r>
              <w:rPr>
                <w:rFonts w:hint="eastAsia" w:ascii="宋体" w:hAnsi="宋体" w:eastAsia="宋体" w:cs="宋体"/>
                <w:b/>
                <w:bCs/>
                <w:smallCaps w:val="0"/>
                <w:snapToGrid w:val="0"/>
                <w:color w:val="000000"/>
                <w:spacing w:val="-1"/>
                <w:sz w:val="21"/>
                <w:szCs w:val="21"/>
                <w:highlight w:val="none"/>
                <w:lang w:val="en-US" w:eastAsia="zh-CN" w:bidi="ar-SA"/>
              </w:rPr>
              <w:t>（四）结算公式：结算价格＝采购人审核后的基准价×中标折扣率×实际供货量，“国家832扶贫平台”采购的货物除外。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6" w:type="pct"/>
            <w:vAlign w:val="center"/>
          </w:tcPr>
          <w:p>
            <w:pPr>
              <w:pStyle w:val="9"/>
              <w:spacing w:before="60" w:line="379" w:lineRule="auto"/>
              <w:ind w:left="130" w:leftChars="0" w:right="140" w:rightChars="0"/>
              <w:jc w:val="center"/>
              <w:rPr>
                <w:color w:val="auto"/>
                <w:sz w:val="24"/>
                <w:szCs w:val="24"/>
                <w:highlight w:val="none"/>
              </w:rPr>
            </w:pPr>
          </w:p>
        </w:tc>
        <w:tc>
          <w:tcPr>
            <w:tcW w:w="243" w:type="pct"/>
            <w:vAlign w:val="center"/>
          </w:tcPr>
          <w:p>
            <w:pPr>
              <w:pStyle w:val="9"/>
              <w:numPr>
                <w:ilvl w:val="0"/>
                <w:numId w:val="0"/>
              </w:numPr>
              <w:spacing w:before="60" w:line="379" w:lineRule="auto"/>
              <w:ind w:leftChars="0" w:right="140" w:rightChars="0"/>
              <w:jc w:val="center"/>
              <w:rPr>
                <w:rFonts w:hint="default" w:ascii="宋体" w:hAnsi="宋体" w:eastAsia="宋体" w:cs="宋体"/>
                <w:highlight w:val="none"/>
                <w:lang w:val="en-US" w:eastAsia="zh-CN"/>
              </w:rPr>
            </w:pPr>
            <w:r>
              <w:rPr>
                <w:rFonts w:hint="eastAsia" w:eastAsia="宋体" w:cs="宋体"/>
                <w:highlight w:val="none"/>
                <w:lang w:val="en-US" w:eastAsia="zh-CN"/>
              </w:rPr>
              <w:t>4.</w:t>
            </w:r>
          </w:p>
        </w:tc>
        <w:tc>
          <w:tcPr>
            <w:tcW w:w="4449" w:type="pct"/>
            <w:vAlign w:val="top"/>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食材需求</w:t>
            </w:r>
          </w:p>
          <w:p>
            <w:pPr>
              <w:pStyle w:val="9"/>
              <w:adjustRightInd w:val="0"/>
              <w:snapToGrid w:val="0"/>
              <w:spacing w:line="276" w:lineRule="auto"/>
              <w:ind w:left="100" w:leftChars="0" w:firstLine="416"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说明：需求包含但不限于所列明的食材类别及项目，未列明的项目如采购人需要，中标人须无条件供给，金额按中标折扣率进行结算。</w:t>
            </w:r>
          </w:p>
          <w:p>
            <w:pPr>
              <w:pStyle w:val="9"/>
              <w:adjustRightInd w:val="0"/>
              <w:snapToGrid w:val="0"/>
              <w:spacing w:line="276" w:lineRule="auto"/>
              <w:ind w:left="100" w:leftChars="0" w:firstLine="418"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（一）蛋肉类（包括但不仅限于以下品种，可根据实际情况增减品种）</w:t>
            </w:r>
          </w:p>
          <w:tbl>
            <w:tblPr>
              <w:tblStyle w:val="6"/>
              <w:tblW w:w="46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28"/>
              <w:gridCol w:w="1328"/>
              <w:gridCol w:w="1328"/>
              <w:gridCol w:w="1329"/>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pPr>
                    <w:pStyle w:val="9"/>
                    <w:adjustRightInd w:val="0"/>
                    <w:snapToGrid w:val="0"/>
                    <w:spacing w:line="276" w:lineRule="auto"/>
                    <w:jc w:val="center"/>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938" w:type="pct"/>
                  <w:noWrap w:val="0"/>
                  <w:vAlign w:val="center"/>
                </w:tcPr>
                <w:p>
                  <w:pPr>
                    <w:pStyle w:val="9"/>
                    <w:adjustRightInd w:val="0"/>
                    <w:snapToGrid w:val="0"/>
                    <w:spacing w:line="276" w:lineRule="auto"/>
                    <w:ind w:firstLine="418" w:firstLineChars="200"/>
                    <w:jc w:val="center"/>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938" w:type="pct"/>
                  <w:noWrap w:val="0"/>
                  <w:vAlign w:val="center"/>
                </w:tcPr>
                <w:p>
                  <w:pPr>
                    <w:pStyle w:val="9"/>
                    <w:adjustRightInd w:val="0"/>
                    <w:snapToGrid w:val="0"/>
                    <w:spacing w:line="276" w:lineRule="auto"/>
                    <w:ind w:left="100" w:leftChars="0" w:firstLine="418" w:firstLineChars="200"/>
                    <w:jc w:val="center"/>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938" w:type="pct"/>
                  <w:noWrap w:val="0"/>
                  <w:vAlign w:val="center"/>
                </w:tcPr>
                <w:p>
                  <w:pPr>
                    <w:pStyle w:val="9"/>
                    <w:adjustRightInd w:val="0"/>
                    <w:snapToGrid w:val="0"/>
                    <w:spacing w:line="276" w:lineRule="auto"/>
                    <w:ind w:left="100" w:leftChars="0" w:firstLine="418" w:firstLineChars="200"/>
                    <w:jc w:val="center"/>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938" w:type="pct"/>
                  <w:noWrap w:val="0"/>
                  <w:vAlign w:val="center"/>
                </w:tcPr>
                <w:p>
                  <w:pPr>
                    <w:pStyle w:val="9"/>
                    <w:adjustRightInd w:val="0"/>
                    <w:snapToGrid w:val="0"/>
                    <w:spacing w:line="276" w:lineRule="auto"/>
                    <w:ind w:left="100" w:leftChars="0" w:firstLine="418" w:firstLineChars="200"/>
                    <w:jc w:val="center"/>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677" w:type="pct"/>
                  <w:noWrap w:val="0"/>
                  <w:vAlign w:val="center"/>
                </w:tcPr>
                <w:p>
                  <w:pPr>
                    <w:pStyle w:val="9"/>
                    <w:adjustRightInd w:val="0"/>
                    <w:snapToGrid w:val="0"/>
                    <w:spacing w:line="276" w:lineRule="auto"/>
                    <w:jc w:val="center"/>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1" w:type="pct"/>
                  <w:noWrap w:val="0"/>
                  <w:vAlign w:val="center"/>
                </w:tcPr>
                <w:p>
                  <w:pPr>
                    <w:pStyle w:val="9"/>
                    <w:adjustRightInd w:val="0"/>
                    <w:snapToGrid w:val="0"/>
                    <w:spacing w:line="276" w:lineRule="auto"/>
                    <w:ind w:left="100" w:leftChars="0" w:firstLine="416" w:firstLineChars="200"/>
                    <w:jc w:val="center"/>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w:t>
                  </w:r>
                </w:p>
              </w:tc>
              <w:tc>
                <w:tcPr>
                  <w:tcW w:w="938" w:type="pct"/>
                  <w:noWrap w:val="0"/>
                  <w:vAlign w:val="center"/>
                </w:tcPr>
                <w:p>
                  <w:pPr>
                    <w:pStyle w:val="9"/>
                    <w:adjustRightInd w:val="0"/>
                    <w:snapToGrid w:val="0"/>
                    <w:spacing w:line="276" w:lineRule="auto"/>
                    <w:ind w:firstLine="624" w:firstLineChars="3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猪肉</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7</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牛肉</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13</w:t>
                  </w:r>
                </w:p>
              </w:tc>
              <w:tc>
                <w:tcPr>
                  <w:tcW w:w="677" w:type="pct"/>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pPr>
                    <w:pStyle w:val="9"/>
                    <w:adjustRightInd w:val="0"/>
                    <w:snapToGrid w:val="0"/>
                    <w:spacing w:line="276" w:lineRule="auto"/>
                    <w:ind w:left="100" w:leftChars="0" w:firstLine="416" w:firstLineChars="200"/>
                    <w:jc w:val="center"/>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w:t>
                  </w:r>
                </w:p>
              </w:tc>
              <w:tc>
                <w:tcPr>
                  <w:tcW w:w="938" w:type="pct"/>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eastAsia="宋体" w:cs="宋体"/>
                      <w:b w:val="0"/>
                      <w:smallCaps w:val="0"/>
                      <w:snapToGrid w:val="0"/>
                      <w:color w:val="000000"/>
                      <w:spacing w:val="-1"/>
                      <w:sz w:val="21"/>
                      <w:szCs w:val="21"/>
                      <w:highlight w:val="none"/>
                      <w:lang w:val="en-US" w:eastAsia="zh-CN" w:bidi="ar-SA"/>
                    </w:rPr>
                    <w:t xml:space="preserve">    </w:t>
                  </w:r>
                  <w:r>
                    <w:rPr>
                      <w:rFonts w:hint="eastAsia" w:ascii="宋体" w:hAnsi="宋体" w:eastAsia="宋体" w:cs="宋体"/>
                      <w:b w:val="0"/>
                      <w:smallCaps w:val="0"/>
                      <w:snapToGrid w:val="0"/>
                      <w:color w:val="000000"/>
                      <w:spacing w:val="-1"/>
                      <w:sz w:val="21"/>
                      <w:szCs w:val="21"/>
                      <w:highlight w:val="none"/>
                      <w:lang w:val="en-US" w:eastAsia="zh-CN" w:bidi="ar-SA"/>
                    </w:rPr>
                    <w:t>猪肉丸</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8</w:t>
                  </w:r>
                </w:p>
              </w:tc>
              <w:tc>
                <w:tcPr>
                  <w:tcW w:w="938" w:type="pct"/>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牛肉丸</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14</w:t>
                  </w:r>
                </w:p>
              </w:tc>
              <w:tc>
                <w:tcPr>
                  <w:tcW w:w="677" w:type="pct"/>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鱼丸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pPr>
                    <w:pStyle w:val="9"/>
                    <w:adjustRightInd w:val="0"/>
                    <w:snapToGrid w:val="0"/>
                    <w:spacing w:line="276" w:lineRule="auto"/>
                    <w:ind w:left="100" w:leftChars="0" w:firstLine="416" w:firstLineChars="200"/>
                    <w:jc w:val="center"/>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3</w:t>
                  </w:r>
                </w:p>
              </w:tc>
              <w:tc>
                <w:tcPr>
                  <w:tcW w:w="938" w:type="pct"/>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猪舌</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9</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牛腩</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15</w:t>
                  </w:r>
                </w:p>
              </w:tc>
              <w:tc>
                <w:tcPr>
                  <w:tcW w:w="677" w:type="pct"/>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光鸡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pPr>
                    <w:pStyle w:val="9"/>
                    <w:adjustRightInd w:val="0"/>
                    <w:snapToGrid w:val="0"/>
                    <w:spacing w:line="276" w:lineRule="auto"/>
                    <w:ind w:left="100" w:leftChars="0" w:firstLine="416" w:firstLineChars="200"/>
                    <w:jc w:val="center"/>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4</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猪肚</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10</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牛杂</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16</w:t>
                  </w:r>
                </w:p>
              </w:tc>
              <w:tc>
                <w:tcPr>
                  <w:tcW w:w="677" w:type="pct"/>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光鹅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pPr>
                    <w:pStyle w:val="9"/>
                    <w:adjustRightInd w:val="0"/>
                    <w:snapToGrid w:val="0"/>
                    <w:spacing w:line="276" w:lineRule="auto"/>
                    <w:ind w:left="100" w:leftChars="0" w:firstLine="416" w:firstLineChars="200"/>
                    <w:jc w:val="center"/>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5</w:t>
                  </w:r>
                </w:p>
              </w:tc>
              <w:tc>
                <w:tcPr>
                  <w:tcW w:w="938" w:type="pct"/>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猪耳朵</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11</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鸭蛋</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17</w:t>
                  </w:r>
                </w:p>
              </w:tc>
              <w:tc>
                <w:tcPr>
                  <w:tcW w:w="677" w:type="pct"/>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光鸭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pPr>
                    <w:pStyle w:val="9"/>
                    <w:adjustRightInd w:val="0"/>
                    <w:snapToGrid w:val="0"/>
                    <w:spacing w:line="276" w:lineRule="auto"/>
                    <w:ind w:left="100" w:leftChars="0" w:firstLine="416" w:firstLineChars="200"/>
                    <w:jc w:val="center"/>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6</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鸡蛋</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12</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咸蛋</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18</w:t>
                  </w:r>
                </w:p>
              </w:tc>
              <w:tc>
                <w:tcPr>
                  <w:tcW w:w="677" w:type="pct"/>
                  <w:noWrap w:val="0"/>
                  <w:vAlign w:val="center"/>
                </w:tcPr>
                <w:p>
                  <w:pPr>
                    <w:pStyle w:val="9"/>
                    <w:adjustRightInd w:val="0"/>
                    <w:snapToGrid w:val="0"/>
                    <w:spacing w:line="276" w:lineRule="auto"/>
                    <w:ind w:firstLine="208" w:firstLineChars="100"/>
                    <w:jc w:val="both"/>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其他</w:t>
                  </w:r>
                </w:p>
              </w:tc>
            </w:tr>
          </w:tbl>
          <w:p>
            <w:pPr>
              <w:pStyle w:val="9"/>
              <w:adjustRightInd w:val="0"/>
              <w:snapToGrid w:val="0"/>
              <w:spacing w:line="276" w:lineRule="auto"/>
              <w:ind w:left="100" w:leftChars="0" w:firstLine="418"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（二）粮油面类（包括但不仅限于以下品种，可根据实际情况增减品种）</w:t>
            </w:r>
          </w:p>
          <w:tbl>
            <w:tblPr>
              <w:tblStyle w:val="6"/>
              <w:tblW w:w="7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420"/>
              <w:gridCol w:w="1420"/>
              <w:gridCol w:w="1420"/>
              <w:gridCol w:w="1141"/>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141"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124"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大米</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4</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河粉</w:t>
                  </w:r>
                </w:p>
              </w:tc>
              <w:tc>
                <w:tcPr>
                  <w:tcW w:w="114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7</w:t>
                  </w:r>
                </w:p>
              </w:tc>
              <w:tc>
                <w:tcPr>
                  <w:tcW w:w="1124"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调和油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粳米</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5</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米粉</w:t>
                  </w:r>
                </w:p>
              </w:tc>
              <w:tc>
                <w:tcPr>
                  <w:tcW w:w="114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8</w:t>
                  </w:r>
                </w:p>
              </w:tc>
              <w:tc>
                <w:tcPr>
                  <w:tcW w:w="1124"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花生油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3</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面条</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6</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面粉</w:t>
                  </w:r>
                </w:p>
              </w:tc>
              <w:tc>
                <w:tcPr>
                  <w:tcW w:w="114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9</w:t>
                  </w:r>
                </w:p>
              </w:tc>
              <w:tc>
                <w:tcPr>
                  <w:tcW w:w="1124"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其他</w:t>
                  </w:r>
                </w:p>
              </w:tc>
            </w:tr>
          </w:tbl>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（三）瓜果蔬菜类（包括但不仅限于以下品种，可根据季节变化增减品种）</w:t>
            </w:r>
          </w:p>
          <w:tbl>
            <w:tblPr>
              <w:tblStyle w:val="6"/>
              <w:tblW w:w="7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420"/>
              <w:gridCol w:w="1420"/>
              <w:gridCol w:w="1420"/>
              <w:gridCol w:w="1421"/>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421"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969"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通心菜</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10</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土豆</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19</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菠菜</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11</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西红柿</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20</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榨菜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3</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小白菜</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12</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萝卜</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21</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南瓜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4</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菜心</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13</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白瓜</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22</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浦瓜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5</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芥菜</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14</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青瓜</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23</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生菜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6</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油麦菜</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15</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茄子</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24</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大白菜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7</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包菜</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16</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菜花</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25</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芹菜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8</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豆芽</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17</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辣椒</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26</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蒜米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9</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韭菜</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18</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生姜</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27</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其他</w:t>
                  </w:r>
                </w:p>
              </w:tc>
            </w:tr>
          </w:tbl>
          <w:p>
            <w:pPr>
              <w:pStyle w:val="9"/>
              <w:adjustRightInd w:val="0"/>
              <w:snapToGrid w:val="0"/>
              <w:spacing w:line="276" w:lineRule="auto"/>
              <w:ind w:left="100" w:leftChars="0" w:firstLine="418"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（四）冻品类（包括但不仅限于以下品种，可根据实际情况增减品种）</w:t>
            </w:r>
          </w:p>
          <w:tbl>
            <w:tblPr>
              <w:tblStyle w:val="6"/>
              <w:tblW w:w="7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420"/>
              <w:gridCol w:w="1420"/>
              <w:gridCol w:w="1420"/>
              <w:gridCol w:w="1421"/>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421"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969"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w:t>
                  </w:r>
                </w:p>
              </w:tc>
              <w:tc>
                <w:tcPr>
                  <w:tcW w:w="1420"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冻鸡胸肉</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4</w:t>
                  </w:r>
                </w:p>
              </w:tc>
              <w:tc>
                <w:tcPr>
                  <w:tcW w:w="1420"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冻花肉</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7</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冻海鲜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w:t>
                  </w:r>
                </w:p>
              </w:tc>
              <w:tc>
                <w:tcPr>
                  <w:tcW w:w="1420"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冻鸡翅</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5</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冻鱼</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8</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冻鸡肾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3</w:t>
                  </w:r>
                </w:p>
              </w:tc>
              <w:tc>
                <w:tcPr>
                  <w:tcW w:w="1420"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冻鸭胸肉</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6</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冻排骨</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9</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其他</w:t>
                  </w:r>
                </w:p>
              </w:tc>
            </w:tr>
          </w:tbl>
          <w:p>
            <w:pPr>
              <w:pStyle w:val="9"/>
              <w:adjustRightInd w:val="0"/>
              <w:snapToGrid w:val="0"/>
              <w:spacing w:line="276" w:lineRule="auto"/>
              <w:ind w:left="100" w:leftChars="0" w:firstLine="418"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（五）干货和腊味类</w:t>
            </w:r>
          </w:p>
          <w:tbl>
            <w:tblPr>
              <w:tblStyle w:val="6"/>
              <w:tblW w:w="7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420"/>
              <w:gridCol w:w="1420"/>
              <w:gridCol w:w="1420"/>
              <w:gridCol w:w="1421"/>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421"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969"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花生米</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7</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茨实</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13</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干香菇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胡椒粉</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8</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菜干</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14</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3</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陈皮</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9</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干木耳</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15</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支竹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4</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腊肠</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10</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干海带</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16</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腊肉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5</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眉豆</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11</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干腐皮</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17</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薏米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6</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咸鱼</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12</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干墨鱼</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18</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其他</w:t>
                  </w:r>
                </w:p>
              </w:tc>
            </w:tr>
          </w:tbl>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（六）调味品和配料类（包括但不仅限于以下品种，可根据实际情况增减品种）</w:t>
            </w:r>
          </w:p>
          <w:tbl>
            <w:tblPr>
              <w:tblStyle w:val="6"/>
              <w:tblW w:w="7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420"/>
              <w:gridCol w:w="1420"/>
              <w:gridCol w:w="1420"/>
              <w:gridCol w:w="1421"/>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421"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969"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生抽</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7</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柱候酱</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13</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碘盐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老抽</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8</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沙糖</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14</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味精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3</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卤水汁</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9</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醋</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15</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酸梅酱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4</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腐乳</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10</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辣椒酱</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16</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番茄汁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5</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麻油</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11</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蚝油</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17</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鸡精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6</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料酒</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12</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生粉</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18</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其他</w:t>
                  </w:r>
                </w:p>
              </w:tc>
            </w:tr>
          </w:tbl>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水果（包括但不仅限于以下品种，可根据季节变化增减品种）</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9"/>
              <w:gridCol w:w="1379"/>
              <w:gridCol w:w="1334"/>
              <w:gridCol w:w="1608"/>
              <w:gridCol w:w="1335"/>
              <w:gridCol w:w="1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902" w:type="pct"/>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872" w:type="pct"/>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052" w:type="pct"/>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873" w:type="pct"/>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873" w:type="pct"/>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红苹果</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12</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红肉火龙果</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23</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香梨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红富士</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13</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甜橙</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24</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红香梨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3</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加力果</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14</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芒果</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25</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水晶梨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4</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香蕉</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15</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沃柑</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26</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鸭梨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5</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红圣果</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16</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奇异果</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27</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布林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6</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皇冠梨</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17</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山竹</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28</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李子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7</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桃驳李</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18</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脐橙</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29</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油桃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8</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芦柑</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19</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锦橙</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30</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蜜柚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9</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广柑</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20</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沙田柚</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31</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西柚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firstLine="416" w:firstLineChars="200"/>
                    <w:jc w:val="both"/>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10</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西瓜</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21</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香瓜</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firstLine="416" w:firstLineChars="200"/>
                    <w:jc w:val="both"/>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11</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哈密瓜</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22</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葡萄、提子</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p>
              </w:tc>
            </w:tr>
          </w:tbl>
          <w:p>
            <w:pPr>
              <w:pStyle w:val="9"/>
              <w:adjustRightInd w:val="0"/>
              <w:snapToGrid w:val="0"/>
              <w:spacing w:line="276" w:lineRule="auto"/>
              <w:rPr>
                <w:rFonts w:hint="eastAsia"/>
                <w:b w:val="0"/>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8" w:hRule="atLeast"/>
        </w:trPr>
        <w:tc>
          <w:tcPr>
            <w:tcW w:w="306" w:type="pct"/>
            <w:vAlign w:val="center"/>
          </w:tcPr>
          <w:p>
            <w:pPr>
              <w:pStyle w:val="9"/>
              <w:spacing w:before="60" w:line="379" w:lineRule="auto"/>
              <w:ind w:left="130" w:leftChars="0" w:right="140" w:rightChars="0"/>
              <w:jc w:val="center"/>
              <w:rPr>
                <w:color w:val="auto"/>
                <w:sz w:val="24"/>
                <w:szCs w:val="24"/>
                <w:highlight w:val="none"/>
              </w:rPr>
            </w:pPr>
          </w:p>
        </w:tc>
        <w:tc>
          <w:tcPr>
            <w:tcW w:w="243" w:type="pct"/>
            <w:vAlign w:val="center"/>
          </w:tcPr>
          <w:p>
            <w:pPr>
              <w:pStyle w:val="9"/>
              <w:adjustRightInd w:val="0"/>
              <w:snapToGrid w:val="0"/>
              <w:spacing w:line="276" w:lineRule="auto"/>
              <w:rPr>
                <w:rFonts w:hint="default" w:ascii="宋体" w:hAnsi="宋体" w:eastAsia="宋体" w:cs="宋体"/>
                <w:b/>
                <w:bCs/>
                <w:smallCaps w:val="0"/>
                <w:snapToGrid w:val="0"/>
                <w:color w:val="000000"/>
                <w:spacing w:val="-1"/>
                <w:sz w:val="21"/>
                <w:szCs w:val="21"/>
                <w:highlight w:val="none"/>
                <w:lang w:val="en-US" w:eastAsia="zh-CN" w:bidi="ar-SA"/>
              </w:rPr>
            </w:pPr>
            <w:r>
              <w:rPr>
                <w:rFonts w:hint="eastAsia" w:eastAsia="宋体" w:cs="宋体"/>
                <w:b/>
                <w:bCs/>
                <w:smallCaps w:val="0"/>
                <w:snapToGrid w:val="0"/>
                <w:color w:val="000000"/>
                <w:spacing w:val="-1"/>
                <w:sz w:val="21"/>
                <w:szCs w:val="21"/>
                <w:highlight w:val="none"/>
                <w:lang w:val="en-US" w:eastAsia="zh-CN" w:bidi="ar-SA"/>
              </w:rPr>
              <w:t>5.</w:t>
            </w:r>
          </w:p>
        </w:tc>
        <w:tc>
          <w:tcPr>
            <w:tcW w:w="4449" w:type="pct"/>
            <w:vAlign w:val="top"/>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具体要求</w:t>
            </w:r>
          </w:p>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（一）蛋肉类</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1.肉类供应情况要求</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鸡、鸭、鹅等禽类：投标人配送的家禽类渠道来源正规可溯，以大型养殖场品牌产品为佳，禽类的表皮光滑，新鲜肥嫩，无内脏，眼球饱满或平坦，皮肤有光泽，根据品种的不同而呈现出家禽原有的自然颜色，肌肉切面有光泽，表皮微湿润，不粘手。</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鸡、鸭、鹅的存活期限分别不少于60 天、100 天、100 天；活鸡、鸭、鹅的重量分别不低于3斤、4斤、8斤；鸡须为阉鸡，俗称熟鸡，线鸡、扇鸡（骟鸡）、剦鸡、献鸡、镦鸡。</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5"/>
              <w:gridCol w:w="6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品名</w:t>
                  </w:r>
                </w:p>
              </w:tc>
              <w:tc>
                <w:tcPr>
                  <w:tcW w:w="42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质量标准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鸡</w:t>
                  </w:r>
                </w:p>
              </w:tc>
              <w:tc>
                <w:tcPr>
                  <w:tcW w:w="42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整鸡表皮光滑而有光泽、新鲜肥嫩，有头颈，有腿翅， 无内脏，鸡肉的眼球饱满或平坦，皮肤有光泽，在品种不同而呈黄、浅黄、淡红、灰白等色，切面有光泽，外表微湿润，不粘手，无内脏，肚内无血水。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鸭、鹅</w:t>
                  </w:r>
                </w:p>
              </w:tc>
              <w:tc>
                <w:tcPr>
                  <w:tcW w:w="42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表皮光滑、新鲜肥嫩，有头颈，有腿翅，无内脏，鸭、鹅肉的眼球饱满或平坦，皮肤有光泽，在品种不同而呈黄、浅黄、淡红、灰白等色，切面有泽，外表微湿润，不粘手，无内脏，肚内无血水。</w:t>
                  </w:r>
                </w:p>
              </w:tc>
            </w:tr>
          </w:tbl>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猪、牛、羊等肉类：投标人配送的猪肉、牛肉、羊肉等渠道来源正规可溯，以大型养殖场品牌产品为佳，肉类来源于项目所在地正规肉联厂，肉呈均匀的红色，有光泽，肉质紧密，有坚实感，肉的表面及切面微湿润，不粘手，脂肪洁白。</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6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品名</w:t>
                  </w:r>
                </w:p>
              </w:tc>
              <w:tc>
                <w:tcPr>
                  <w:tcW w:w="42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质量标准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五花肉</w:t>
                  </w:r>
                </w:p>
              </w:tc>
              <w:tc>
                <w:tcPr>
                  <w:tcW w:w="42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肥瘦比例3:7（三线肉），肉呈均匀的红色，有光泽，肉质紧密富有弹性，有坚实感，用手指按压凹后立即复原；肉的外表及切面微湿，不粘手，脂肪洁白，肉汁透明。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7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瘦肉</w:t>
                  </w:r>
                </w:p>
              </w:tc>
              <w:tc>
                <w:tcPr>
                  <w:tcW w:w="42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基本为瘦肉，无肥肉，骨腱少。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上肉</w:t>
                  </w:r>
                </w:p>
              </w:tc>
              <w:tc>
                <w:tcPr>
                  <w:tcW w:w="42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肉呈均匀的红色，有光泽，肉质紧密，有坚实感；肉的外表及切面微湿，不粘手，脂肪洁白无霉点。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排骨</w:t>
                  </w:r>
                </w:p>
              </w:tc>
              <w:tc>
                <w:tcPr>
                  <w:tcW w:w="42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带肉的排骨，不带头尾，不带肥油，厚实，完整，不得剔降，骨肉不分离。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筒骨</w:t>
                  </w:r>
                </w:p>
              </w:tc>
              <w:tc>
                <w:tcPr>
                  <w:tcW w:w="42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腿骨，圆管形、浅黄骨髓充满全部管状骨腔，带部分肌肉、干净。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脊骨</w:t>
                  </w:r>
                </w:p>
              </w:tc>
              <w:tc>
                <w:tcPr>
                  <w:tcW w:w="42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剔除了里脊肉的脊椎骨，色泽肉红，不带皮，不带油。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鲜牛肉</w:t>
                  </w:r>
                </w:p>
              </w:tc>
              <w:tc>
                <w:tcPr>
                  <w:tcW w:w="42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肉色深红、肉质有弹性、指压陷部分立刻恢复，切面有光具有浓郁的牛肉气味，脂肪白色或乳白色，无寄生虫，无注水。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鲜羊肉</w:t>
                  </w:r>
                </w:p>
              </w:tc>
              <w:tc>
                <w:tcPr>
                  <w:tcW w:w="42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肉色为均匀的红色、有光泽、有弹性、外表微干、不粘手、肉皮为白至浅灰白色、无注水。</w:t>
                  </w:r>
                </w:p>
              </w:tc>
            </w:tr>
          </w:tbl>
          <w:p>
            <w:pPr>
              <w:pStyle w:val="9"/>
              <w:adjustRightInd w:val="0"/>
              <w:snapToGrid w:val="0"/>
              <w:spacing w:line="276" w:lineRule="auto"/>
              <w:ind w:left="100" w:leftChars="0" w:firstLine="418"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鲜鱼：鱼体健康，体态均称，游动活泼，体色鲜明，体表光滑，眼睛亮丽，鳞片鳍条完好。</w:t>
            </w:r>
          </w:p>
          <w:tbl>
            <w:tblPr>
              <w:tblStyle w:val="6"/>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20"/>
              <w:gridCol w:w="12"/>
              <w:gridCol w:w="3680"/>
              <w:gridCol w:w="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名称</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大罗非</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脆肉鲩</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不低于10斤/条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大海鲩</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大鲩鱼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不低于4.5斤/条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桂花鱼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不低于1.2斤/条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白鲫鱼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加工花鲛鱼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加工黄花鱼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加工黑鲳</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加工红衫鱼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 xml:space="preserve">           加工金线红衫鱼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加工马友鱼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加工软骨鲜</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加工三须鱼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加工泥猛鱼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加工牛尾鱼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不低于4两/条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盐水大黄鱼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龙鳕鱼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不低于5KG/箱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加工八爪鱼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不低于8只/斤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加工墨鱼仔</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不低于40只/斤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加工黄鳝</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加工白花鱼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海鲫鱼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不低于1.5斤/条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大鳊鱼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不低于2斤/条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jc w:val="center"/>
              </w:trPr>
              <w:tc>
                <w:tcPr>
                  <w:tcW w:w="256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多宝鱼</w:t>
                  </w:r>
                </w:p>
              </w:tc>
              <w:tc>
                <w:tcPr>
                  <w:tcW w:w="241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不低于1.2斤/条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jc w:val="center"/>
              </w:trPr>
              <w:tc>
                <w:tcPr>
                  <w:tcW w:w="256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大鲈鱼</w:t>
                  </w:r>
                </w:p>
              </w:tc>
              <w:tc>
                <w:tcPr>
                  <w:tcW w:w="241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不低于2.3斤/条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jc w:val="center"/>
              </w:trPr>
              <w:tc>
                <w:tcPr>
                  <w:tcW w:w="256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红立鱼</w:t>
                  </w:r>
                </w:p>
              </w:tc>
              <w:tc>
                <w:tcPr>
                  <w:tcW w:w="241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不低于8两/条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jc w:val="center"/>
              </w:trPr>
              <w:tc>
                <w:tcPr>
                  <w:tcW w:w="256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大白鳝</w:t>
                  </w:r>
                </w:p>
              </w:tc>
              <w:tc>
                <w:tcPr>
                  <w:tcW w:w="241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不低于1.5斤/条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jc w:val="center"/>
              </w:trPr>
              <w:tc>
                <w:tcPr>
                  <w:tcW w:w="256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大边鱼</w:t>
                  </w:r>
                </w:p>
              </w:tc>
              <w:tc>
                <w:tcPr>
                  <w:tcW w:w="241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不低于1.5斤/条</w:t>
                  </w:r>
                </w:p>
              </w:tc>
            </w:tr>
          </w:tbl>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虾类：游水快、头尾完整、有一定弯曲度，肉质坚实，虾壳发亮，呈青绿色或青白色。</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33"/>
              <w:gridCol w:w="3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名称</w:t>
                  </w:r>
                </w:p>
              </w:tc>
              <w:tc>
                <w:tcPr>
                  <w:tcW w:w="242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罗氏虾</w:t>
                  </w:r>
                </w:p>
              </w:tc>
              <w:tc>
                <w:tcPr>
                  <w:tcW w:w="242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不低于10头/斤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沙虾/明虾</w:t>
                  </w:r>
                </w:p>
              </w:tc>
              <w:tc>
                <w:tcPr>
                  <w:tcW w:w="242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不低于20头/斤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九节虾</w:t>
                  </w:r>
                </w:p>
              </w:tc>
              <w:tc>
                <w:tcPr>
                  <w:tcW w:w="242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不低于10头/斤</w:t>
                  </w:r>
                </w:p>
              </w:tc>
            </w:tr>
          </w:tbl>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（5）贝类：肉质新鲜、无臭味、肥壮，在静水中会伸出触角，表面清洁完整、无寄生物、外观完美、有光泽。</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（6）其他蛋肉类食材供应按相关行业标准和感官标准执行。</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所供货物应保持较好的外观和质量等级，符合国家食品部门的有关标准，保证无异味、无霉烂变质，肉类保证来源于正规肉联厂，供货时需提交肉联厂的验收单及当批次有效的动物检疫合格证复印件，鲜肉确保每日新鲜，冷冻肉要求肉体冻实而坚硬，无化冻现象，肉质紧密而有弹性，色泽均匀，不粘手，交货时干净、新鲜、无异味，冷冻鱼类要求鱼眼睛清亮，角膜透明，鳞片上覆有冻结的透明黏液层，皮肤天然色泽明显。</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3.所有货物规格须符合采购人提交的日采购计划或日订单中明确的具体需求。</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4.水（海）产食品有害、有毒物质最高限量要求如下：</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1"/>
              <w:gridCol w:w="3620"/>
              <w:gridCol w:w="3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序号</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项目</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总汞，mg/kg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≤0.03,其中甲基汞≤0.3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砷</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按GB/T 23372-2009执行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3</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铅，mg/kg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4</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铜，mg/kg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5</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镉，mg/kg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6</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铬，mg/kg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7</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氟（淡水鱼），mg/kg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8</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六六六，mg/kg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9</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滴滴涕，mg/kg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10</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土霉素，mg/kg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≤0.1（肌肉）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11</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氯霉素</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不得检出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12</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磺胺类（单种），mg/kg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13</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恶喹酸（鳗鱼），mg/kg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≤0.3（肌肉+皮）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14</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呋喃唑酮</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不得检出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15</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乙烯雌酚</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不得检出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16</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多氯联苯（海产品），mg/kg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17</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腹泻性贝类毒素（DSP），ug/100g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18</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麻痹性贝类毒素（DSP），ug/100g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≤80</w:t>
                  </w:r>
                </w:p>
              </w:tc>
            </w:tr>
          </w:tbl>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（二）粮油面类</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1.质量要求：</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（1）米、油、面粉、豆类货物需符合国家食品卫生标准，不得腐烂、变质、油脂酸败、霉变、生虫、污秽不洁、混有异物或者其他感官性状异常，并可能对人体健康有害的物质。</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米、油：要提供食品生产许可证、国家机关发出的产品检验合格证书。包装食品：包装箱完整，同时包装箱要印有注册商标、生产厂家名称、厂址、出厂日期、产品合格证、质保期限、产品成分、厂家电话号码。散装豆类：提供生产厂家营业执照、卫生许可证、国家机关发出的产品检验合格证书。中标人所提供产品质量需要符合行业标准要求，不得有掺假、变质、变味、过期等现象出现，严禁供应伪劣、假冒、无证、不合格产品。</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3）中标人在供应过程中，如果发生出现质量问题或造成食物中毒，如变质等情况，经查实后确属供应方责任，中标人应承担全部责任，主要包括食物中毒人员医疗费、误工费、事故处理费等所有费用，直至追究刑事责任。</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2.执行标准：</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（1）投标人必须承诺所供应大米、油、面粉、豆类货物必须为非转基因食材。</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（2）大米品种要求为标准一级米，不含添加剂。</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（3）米类执行标准：GB/T 1354-2018、GB 2715-2016 、GB 2763-2021。</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（4）大米的质量标准：除符合标准一级米外，要求：碎米总量≤17%（国家标准：≤35%），小碎米总量≤2%（国家标准：≤2.5%），不完善粒≤3.5%（国家标准：≤4%），黄米粒按国家标准执行。</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（5）油类执行标准：以国家最新标准为准。</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食用调和油：GB/T 1535-2017，一级大豆色拉油（不含棕榈油和非食用油）；</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花生油：GB/T 1534-2017；</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大豆油：GB/T 1535-2017；</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葵花籽油：</w:t>
            </w:r>
            <w:r>
              <w:rPr>
                <w:rFonts w:hint="eastAsia" w:ascii="宋体" w:hAnsi="宋体" w:eastAsia="宋体" w:cs="宋体"/>
                <w:b w:val="0"/>
                <w:bCs w:val="0"/>
                <w:smallCaps w:val="0"/>
                <w:snapToGrid w:val="0"/>
                <w:color w:val="000000"/>
                <w:spacing w:val="-1"/>
                <w:sz w:val="21"/>
                <w:szCs w:val="21"/>
                <w:highlight w:val="none"/>
                <w:lang w:val="en-US" w:eastAsia="zh-CN" w:bidi="ar-SA"/>
              </w:rPr>
              <w:tab/>
            </w:r>
            <w:r>
              <w:rPr>
                <w:rFonts w:hint="eastAsia" w:ascii="宋体" w:hAnsi="宋体" w:eastAsia="宋体" w:cs="宋体"/>
                <w:b w:val="0"/>
                <w:bCs w:val="0"/>
                <w:smallCaps w:val="0"/>
                <w:snapToGrid w:val="0"/>
                <w:color w:val="000000"/>
                <w:spacing w:val="-1"/>
                <w:sz w:val="21"/>
                <w:szCs w:val="21"/>
                <w:highlight w:val="none"/>
                <w:lang w:val="en-US" w:eastAsia="zh-CN" w:bidi="ar-SA"/>
              </w:rPr>
              <w:t>GB/T 10464-2017；</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棉籽油：GB/T 1537-2019；</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玉米油：GB/T 19111-2017</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油茶籽油：GB/T 11765-2018；</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米糠油：GB/T 19112-2003；</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（6）油类质量要求：</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每个食用油品必须色泽好，透明度高，无浑浊，无沉淀和悬浮物，粘度小，无分层现象，气味正常，无酸臭异味。</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严格执行国家相关质量标准及卫生安全标准，色泽、气味、霉变、真菌毒素、重金属污染物、农药等严格控制在国家标准范围内，具体范围如下：</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原粮及成品粮色泽、气味须正常。</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霉变粒不得超过2%；</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真菌毒素：黄曲霉素B1（5mg/kg~20mg/kg）、脱氧雪腐镰刀菌烯醇（≤1000mg/kg）、玉米赤霉烯酮（≤60mg/kg）、赭曲霉毒素A（≤5mg/kg）。</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重金属污染物：铅（≤0.2mg/kg）、镉（0.1mg/kg~0.2mg/kg）、汞（≤0.02mg/kg）、无机砷（0.1mg/kg~0.2mg/kg）。</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农药：不得残存超过相关标准对磷化物、马拉硫磷等140余种农药规定的最大残留量。</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7）要求根据采购人需求的食用油等级保质保量完成供货，要求提供的食用油生产厂家信誉良好，有明确的食材标签，有生产日期、质保期、质量等级，并标明初制油的加工工艺（即用浸出法生产，还是用压榨法生产的），不许以此充好、以假充真。</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（8）其他粮油面类食材按相关行业标准和感官标准执行。</w:t>
            </w:r>
          </w:p>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（三）瓜果蔬菜类</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1.质量要求及标准：</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色泽新鲜，不脱水，无腐烂，无虫害。中标人所供应的瓜果蔬菜食材必须为正规厂家的货物，来源必须清晰。蔬菜来源应产于受到地方政府部门监管的自有基地、食材菜基地或蔬菜专业流通市场，严禁收购散户农民的蔬菜供应。给采购人的瓜果蔬菜必须是优质货物，不得含有残留农药或污染物；中标人必须保证所供应的蔬菜符合我国无公害蔬菜的卫生质量标准（见下表），同时承担因所供蔬菜问题引起的一切事故后果。</w:t>
            </w:r>
          </w:p>
          <w:tbl>
            <w:tblPr>
              <w:tblStyle w:val="6"/>
              <w:tblW w:w="7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项目</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指标（mg/kg）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甲胺磷</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甲拌磷</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氧化乐果</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甲基对硫磷</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呋喃丹</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百菌清</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多菌灵</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汞（以Hg 计）</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铅（以Pb 计）</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砷（以As 计）</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氟（以F 计）</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≤0.</w:t>
                  </w:r>
                  <w:r>
                    <w:rPr>
                      <w:rFonts w:hint="eastAsia" w:ascii="宋体" w:hAnsi="宋体" w:eastAsia="宋体" w:cs="宋体"/>
                      <w:b w:val="0"/>
                      <w:bCs w:val="0"/>
                      <w:smallCaps w:val="0"/>
                      <w:snapToGrid w:val="0"/>
                      <w:color w:val="000000"/>
                      <w:spacing w:val="-1"/>
                      <w:sz w:val="21"/>
                      <w:szCs w:val="21"/>
                      <w:highlight w:val="none"/>
                      <w:lang w:val="zh-CN" w:eastAsia="zh-CN" w:bidi="ar-SA"/>
                    </w:rPr>
                    <w:c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硝酸盐（以NaNO3 计）</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瓜果类≤600；叶菜根茎类≤1200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亚硝酸盐（以NaNO2 计）</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≤4</w:t>
                  </w:r>
                </w:p>
              </w:tc>
            </w:tr>
          </w:tbl>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（2）蔬菜包装与标志要求：</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包装方面：容器（框、箱、袋）要求清洁、干燥、牢固、透气，无污染、无异味、无霉变现象。</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标志方面：每件包装必须按《农产品包装和标示管理办法》贴标签，并标明产地、品种、净含量、生产单位及地址和采收日期。</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（3）瓜果蔬菜具体感观要求：</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蔬菜色泽：各种蔬菜都应具有本品种固有的颜色，大多数有发亮的光泽；</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蔬菜气味：不允许有腐烂变质的亚硝酸盐味和其他异常气味；</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蔬菜滋味：因品种不同而各异，多数蔬菜滋味甘淡、甜酸、清爽鲜美，少数具有辛酸、苦涩等特殊风味以刺激食欲，如失去本品种原有的滋味即为异常；</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从蔬菜形态看：无如萎蔫、枯塌、损伤、病变、虫害侵蚀等引起的形态异常或不新鲜等蔬菜。</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（4）类别要求：</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叶菜类：大白菜、小白菜、菠菜、甘蓝、荠菜、空心菜、茼蒿、苋菜、芹菜等绿叶菜类。肉质鲜嫩形态好，色泽正常，茎基部削平，无枯黄叶、病叶、泥土、明显机械伤和病虫害伤，无烧心焦边、腐烂等现象，无抽苔（菜心除外），无畸形、异味，结球叶菜要结球适度，花椰菜应新鲜洁白，不带叶麸，无畸形花。</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茄果类：番茄、茄子、甜椒、辣椒等。果实整洁，成熟度适中；番茄花蒂不明显，无裂果及空洞现象，茄果不能有裂蒂及果皮变硬现象，无腐烂、畸形、异味，无明显机械伤。</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瓜类：黄瓜、冬瓜、丝瓜、苦瓜、南瓜、毛节瓜等。形状、色泽一致，瓜条均匀，无疤点，无断裂，无腐烂、畸形、异味、明显机械伤，不带泥土。</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根菜类：萝卜、胡萝卜等。皮细光滑，大小均匀，肉质脆嫩致密新鲜，无腐烂、畸形、裂痕、糠心、异味，不带泥沙，不带茎叶和须根。</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薯芋类：马铃薯、芋、姜等。色泽一致，不带泥沙，不带须根、茎叶，不干瘪，无腐烂、畸形、异味、明显机械伤、病虫害斑；马铃薯无发芽，皮不变绿。</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葱蒜类：葱、蒜、韭菜、洋葱等。允许葱、青蒜类保留干净须根；葱、蒜、韭菜不带老叶。蒜头、洋葱去根去枯叶；可食部分新鲜幼嫩，无腐烂、畸形、异味。</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豆类：扁豆、豌豆、毛豆等。形态完整，成熟度适中，无腐烂、畸形、异味，豆荚类新鲜、幼嫩、均匀，豆仁类籽粒饱满，较均匀，无发芽，不带泥土杂质。</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水生菜类：藕、慈菇、茭白、马蹄、菱等。肉质嫩，成熟度适中，无腐烂、畸形、异味，无明显机械伤，不带泥土和杂质，不干瘪，茭白不黑心。</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食用菌类：蘑菇、草菇、香菇、木耳等。蘑菇、草菇菌盖圆整略展开，柄粗壮，菌膜紧，菇柄切削平整，不浸泡水（蘑菇允许浸盐水保鲜）；新鲜，无杂质，无畸形菇，无腐烂、异味。</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芽苗类：绿豆芽、黄豆芽、香樁苗等。芽苗幼嫩，不带豆壳杂质，新鲜，不浸水，无腐烂、异味。</w:t>
            </w:r>
          </w:p>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zh-CN" w:eastAsia="zh-CN" w:bidi="ar-SA"/>
              </w:rPr>
            </w:pPr>
            <w:r>
              <w:rPr>
                <w:rFonts w:hint="eastAsia" w:ascii="宋体" w:hAnsi="宋体" w:eastAsia="宋体" w:cs="宋体"/>
                <w:b/>
                <w:bCs/>
                <w:smallCaps w:val="0"/>
                <w:snapToGrid w:val="0"/>
                <w:color w:val="000000"/>
                <w:spacing w:val="-1"/>
                <w:sz w:val="21"/>
                <w:szCs w:val="21"/>
                <w:highlight w:val="none"/>
                <w:lang w:val="zh-CN" w:eastAsia="zh-CN" w:bidi="ar-SA"/>
              </w:rPr>
              <w:t>（四）冻品类</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1.冻肉必须符合食品卫生要求及国家有关标准和行业规范。采购生产、经营证明文件齐备，明确来源，并具有检验合格证明。严禁含有毒有害物质、虫及混有异物，严禁有腐烂变质、酸败、霉变情况，禁止供应超过保质期限的冻肉类食材。</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2.冻肉类食材包装必须符合国家规范，供应的食材不得存放在有毒、有害的容器和承载物内。食材包装上必须使用原产地标识，应注明供应制造商名称和厂址、食材名称和重（容）量、生产日期和保质期限以及规格和食品生产许可证等内容。</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3.所有食材规格符合采购人提交的日采购计划或日订单中明确的具体需求。</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4.冷冻禽类食材解冻后净重量不少于解冻前的90</w:t>
            </w:r>
            <w:r>
              <w:rPr>
                <w:rFonts w:hint="eastAsia" w:ascii="宋体" w:hAnsi="宋体" w:eastAsia="宋体" w:cs="宋体"/>
                <w:b w:val="0"/>
                <w:bCs w:val="0"/>
                <w:smallCaps w:val="0"/>
                <w:snapToGrid w:val="0"/>
                <w:color w:val="000000"/>
                <w:spacing w:val="-1"/>
                <w:sz w:val="21"/>
                <w:szCs w:val="21"/>
                <w:highlight w:val="none"/>
                <w:lang w:val="en-US" w:eastAsia="zh-CN" w:bidi="ar-SA"/>
              </w:rPr>
              <w:t>%</w:t>
            </w:r>
            <w:r>
              <w:rPr>
                <w:rFonts w:hint="eastAsia" w:ascii="宋体" w:hAnsi="宋体" w:eastAsia="宋体" w:cs="宋体"/>
                <w:b w:val="0"/>
                <w:bCs w:val="0"/>
                <w:smallCaps w:val="0"/>
                <w:snapToGrid w:val="0"/>
                <w:color w:val="000000"/>
                <w:spacing w:val="-1"/>
                <w:sz w:val="21"/>
                <w:szCs w:val="21"/>
                <w:highlight w:val="none"/>
                <w:lang w:val="zh-CN" w:eastAsia="zh-CN" w:bidi="ar-SA"/>
              </w:rPr>
              <w:t>，冷冻肉类食材解冻后净重量不少于解冻前的92%，冷冻水产类食材解冻后净重量不少于解冻前的82%，解冻时间为4 小时以内（室温20℃）。所有冷冻食材要求清晰列出品牌、规格、类型、包装方式、包装净重、含冰量等相关参数。</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5.冰鲜鱼：滑而不粘手，气味正常，鳃盖紧闭，鳃丝紫色或紫红，鱼体肌肉有弹性，不易凹陷或凹陷迅速复平。</w:t>
            </w:r>
          </w:p>
          <w:tbl>
            <w:tblPr>
              <w:tblStyle w:val="6"/>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6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8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品名</w:t>
                  </w:r>
                </w:p>
              </w:tc>
              <w:tc>
                <w:tcPr>
                  <w:tcW w:w="401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质量标准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8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冻精肉（2#、4#）</w:t>
                  </w:r>
                </w:p>
              </w:tc>
              <w:tc>
                <w:tcPr>
                  <w:tcW w:w="401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II号肉或IV号肉，肉呈均匀的红色，有光泽，肉质紧密，有坚实感，肉的外表及切面微湿润，不粘手。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8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冻肋排</w:t>
                  </w:r>
                </w:p>
              </w:tc>
              <w:tc>
                <w:tcPr>
                  <w:tcW w:w="401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带颈骨及前五条排骨，肉体冻实而坚硬，敲之回音清脆，无化冻现象。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8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冻猪蹄</w:t>
                  </w:r>
                </w:p>
              </w:tc>
              <w:tc>
                <w:tcPr>
                  <w:tcW w:w="401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肉体冻实而坚硬，敲之回音清脆，无化冻现象。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8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冻牛肉</w:t>
                  </w:r>
                </w:p>
              </w:tc>
              <w:tc>
                <w:tcPr>
                  <w:tcW w:w="401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解冻后的肌肉呈均匀的红色，有光泽，脂肪呈白色或微黄色</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，肌肉外表微干或者风干膜，或外表湿润，但都不粘手，良质冻牛肉的肌肉结构紧密，有坚实感，肌纤维韧强。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8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冻肉制品</w:t>
                  </w:r>
                </w:p>
              </w:tc>
              <w:tc>
                <w:tcPr>
                  <w:tcW w:w="401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一、感官检验：</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冻品具有该商品固有的形状外观、气味和色泽不得存在异味、腐烂、发霉、变色和融化；</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商品无化冻或复冻现象，冷冻肉无血水、无化冻。</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二、包装检验：</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产品外包装完好，无污染、胀包、破损、开裂 ；</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纸箱包装需棱角分明，无潮湿；</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产品标签印刷清晰、整洁、无重影，色彩分明，标签外观平整，粘贴牢固、无皱缩或者残损等缺陷；</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保质期、生产日期清晰可见。</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三、有效期检验：</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供货时的剩余保质期不少于有效保质期的三分之二。</w:t>
                  </w:r>
                </w:p>
              </w:tc>
            </w:tr>
          </w:tbl>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p>
            <w:pPr>
              <w:pStyle w:val="9"/>
              <w:adjustRightInd w:val="0"/>
              <w:snapToGrid w:val="0"/>
              <w:spacing w:line="276" w:lineRule="auto"/>
              <w:ind w:left="100" w:leftChars="0" w:firstLine="418"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6.水（海）产食品有害、有毒物质最高限量要求如下：</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3344"/>
              <w:gridCol w:w="3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序号</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项目</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总汞，mg/kg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≤0.03,其中甲基汞≤0.3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w:t>
                  </w:r>
                </w:p>
              </w:tc>
              <w:tc>
                <w:tcPr>
                  <w:tcW w:w="2188"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砷</w:t>
                  </w:r>
                </w:p>
              </w:tc>
              <w:tc>
                <w:tcPr>
                  <w:tcW w:w="215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按GB/T 23372-2009执行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3</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铅，mg/kg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4</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铜，mg/kg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5</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镉，mg/kg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6</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铬，mg/kg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7</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氟（淡水鱼），mg/kg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8</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六六六，mg/kg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9</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滴滴涕，mg/kg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10</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土霉素，mg/kg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≤0.1（肌肉）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11</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氯霉素</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不得检出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12</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磺胺类（单种），mg/kg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13</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恶喹酸（鳗鱼），mg/kg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≤0.3（肌肉+皮）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14</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呋喃唑酮</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不得检出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15</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乙烯雌酚</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不得检出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16</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多氯联苯（海产品），mg/kg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17</w:t>
                  </w:r>
                </w:p>
              </w:tc>
              <w:tc>
                <w:tcPr>
                  <w:tcW w:w="2188"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腹泻性贝类毒素（DSP），ug/100g</w:t>
                  </w:r>
                </w:p>
              </w:tc>
              <w:tc>
                <w:tcPr>
                  <w:tcW w:w="215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18</w:t>
                  </w:r>
                </w:p>
              </w:tc>
              <w:tc>
                <w:tcPr>
                  <w:tcW w:w="2188"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麻痹性贝类毒素（DSP），ug/100g</w:t>
                  </w:r>
                </w:p>
              </w:tc>
              <w:tc>
                <w:tcPr>
                  <w:tcW w:w="215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≤80</w:t>
                  </w:r>
                </w:p>
              </w:tc>
            </w:tr>
          </w:tbl>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p>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zh-CN" w:eastAsia="zh-CN" w:bidi="ar-SA"/>
              </w:rPr>
            </w:pPr>
            <w:r>
              <w:rPr>
                <w:rFonts w:hint="eastAsia" w:ascii="宋体" w:hAnsi="宋体" w:eastAsia="宋体" w:cs="宋体"/>
                <w:b/>
                <w:bCs/>
                <w:smallCaps w:val="0"/>
                <w:snapToGrid w:val="0"/>
                <w:color w:val="000000"/>
                <w:spacing w:val="-1"/>
                <w:sz w:val="21"/>
                <w:szCs w:val="21"/>
                <w:highlight w:val="none"/>
                <w:lang w:val="zh-CN" w:eastAsia="zh-CN" w:bidi="ar-SA"/>
              </w:rPr>
              <w:t>（五）干货和腊味类</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1.干货制品的质量基本标准要求符合国家相关行业标准，干爽，不霉烂、整齐、均匀、完整，无虫蛀、无杂质，保持应有的色泽。</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2.确保产品质量稳定，保证营养丰富、绿色安全、海味浓郁、易存放、食用方便，保质期长。</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3.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zh-CN" w:eastAsia="zh-CN" w:bidi="ar-SA"/>
              </w:rPr>
            </w:pPr>
            <w:r>
              <w:rPr>
                <w:rFonts w:hint="eastAsia" w:ascii="宋体" w:hAnsi="宋体" w:eastAsia="宋体" w:cs="宋体"/>
                <w:b/>
                <w:bCs/>
                <w:smallCaps w:val="0"/>
                <w:snapToGrid w:val="0"/>
                <w:color w:val="000000"/>
                <w:spacing w:val="-1"/>
                <w:sz w:val="21"/>
                <w:szCs w:val="21"/>
                <w:highlight w:val="none"/>
                <w:lang w:val="zh-CN" w:eastAsia="zh-CN" w:bidi="ar-SA"/>
              </w:rPr>
              <w:t>（六）调味品和配料类</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1.食材包装应完好无破漏，可视的内容物无腐败霉变或影响使用的变型，不存在危及人身、财产安全的不合理危险。</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2.食材应当符合国家或行业标准。</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3.食材包装标签应符合《食品安全国家标准预包装食品标签通则》（GB 7718）要求，包括食材名称、配料表、净含量、规格、生产者（或）经销者的名称、地址和联系方式、生产日期和保质期、贮存条件、食材生产许可证编号、食材标准代号等内容。</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4.供应有保质期限的食材剩余保存期时长不得少于原有保质期时长的三分之二。</w:t>
            </w:r>
          </w:p>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（七）水果类</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1.具体规格要求</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2"/>
              <w:gridCol w:w="2624"/>
              <w:gridCol w:w="40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序号</w:t>
                  </w: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项目</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红苹果</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红富士</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加力果</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香蕉</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去头，不低于3两/根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圣女果</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单果不低于10克/颗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皇冠梨</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红肉火龙果</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不低于6两/只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甜橙</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不低于4两/只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芒果</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沃柑</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奇异果</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不低于4两/个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山竹</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不低于5个/斤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香梨</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红香梨</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水晶梨</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鸭梨</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不低于2两/只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布林</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不低于2两/只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李子</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不低于20克/只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油桃</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桃驳李</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芦柑</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不低于2两/只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广柑</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不低于2两/只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脐橙</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锦橙</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不低于2两/只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沙田柚</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蜜柚</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不低于1.5斤/只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西柚</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不低于0.5斤/只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西瓜</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哈密瓜</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香瓜</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葡萄、提子</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不低于10克/颗</w:t>
                  </w:r>
                </w:p>
              </w:tc>
            </w:tr>
          </w:tbl>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2.质量标准</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5"/>
              <w:gridCol w:w="56"/>
              <w:gridCol w:w="1278"/>
              <w:gridCol w:w="135"/>
              <w:gridCol w:w="1789"/>
              <w:gridCol w:w="33"/>
              <w:gridCol w:w="1464"/>
              <w:gridCol w:w="1604"/>
              <w:gridCol w:w="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1439" w:type="pct"/>
                  <w:gridSpan w:val="3"/>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品名</w:t>
                  </w:r>
                </w:p>
              </w:tc>
              <w:tc>
                <w:tcPr>
                  <w:tcW w:w="3287" w:type="pct"/>
                  <w:gridSpan w:val="5"/>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红苹果、红富士</w:t>
                  </w:r>
                  <w:r>
                    <w:rPr>
                      <w:rFonts w:hint="eastAsia" w:ascii="宋体" w:hAnsi="宋体" w:eastAsia="宋体" w:cs="宋体"/>
                      <w:b w:val="0"/>
                      <w:bCs w:val="0"/>
                      <w:smallCaps w:val="0"/>
                      <w:snapToGrid w:val="0"/>
                      <w:color w:val="000000"/>
                      <w:spacing w:val="-1"/>
                      <w:sz w:val="21"/>
                      <w:szCs w:val="21"/>
                      <w:highlight w:val="none"/>
                      <w:lang w:val="en-US" w:eastAsia="zh-CN" w:bidi="ar-SA"/>
                    </w:rPr>
                    <w:cr/>
                  </w:r>
                  <w:r>
                    <w:rPr>
                      <w:rFonts w:hint="eastAsia" w:ascii="宋体" w:hAnsi="宋体" w:eastAsia="宋体" w:cs="宋体"/>
                      <w:b w:val="0"/>
                      <w:bCs w:val="0"/>
                      <w:smallCaps w:val="0"/>
                      <w:snapToGrid w:val="0"/>
                      <w:color w:val="000000"/>
                      <w:spacing w:val="-1"/>
                      <w:sz w:val="21"/>
                      <w:szCs w:val="21"/>
                      <w:highlight w:val="none"/>
                      <w:lang w:val="en-US" w:eastAsia="zh-CN" w:bidi="ar-SA"/>
                    </w:rPr>
                    <w:t>加力果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restar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感官要求</w:t>
                  </w: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色泽</w:t>
                  </w:r>
                </w:p>
              </w:tc>
              <w:tc>
                <w:tcPr>
                  <w:tcW w:w="3287" w:type="pct"/>
                  <w:gridSpan w:val="5"/>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浅黄绿色至深红色，有片状或条纹状颜色略深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形态</w:t>
                  </w:r>
                </w:p>
              </w:tc>
              <w:tc>
                <w:tcPr>
                  <w:tcW w:w="3287" w:type="pct"/>
                  <w:gridSpan w:val="5"/>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圆形或蒂部略大的扁圆，果蒂完整，无起皱或裂口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口感</w:t>
                  </w:r>
                </w:p>
              </w:tc>
              <w:tc>
                <w:tcPr>
                  <w:tcW w:w="3287" w:type="pct"/>
                  <w:gridSpan w:val="5"/>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汁液饱满，无苦涩味，无木栓化组织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手感</w:t>
                  </w:r>
                </w:p>
              </w:tc>
              <w:tc>
                <w:tcPr>
                  <w:tcW w:w="3287" w:type="pct"/>
                  <w:gridSpan w:val="5"/>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果身重，硬朗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劣品拒收</w:t>
                  </w:r>
                </w:p>
              </w:tc>
              <w:tc>
                <w:tcPr>
                  <w:tcW w:w="3287" w:type="pct"/>
                  <w:gridSpan w:val="5"/>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压伤、擦伤淤伤，病虫害、腐烂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1439" w:type="pct"/>
                  <w:gridSpan w:val="3"/>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品名</w:t>
                  </w:r>
                </w:p>
              </w:tc>
              <w:tc>
                <w:tcPr>
                  <w:tcW w:w="1281" w:type="pct"/>
                  <w:gridSpan w:val="3"/>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香梨、红香梨</w:t>
                  </w:r>
                </w:p>
              </w:tc>
              <w:tc>
                <w:tcPr>
                  <w:tcW w:w="200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水晶梨、鸭梨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restar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感官要求</w:t>
                  </w: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色泽</w:t>
                  </w:r>
                </w:p>
              </w:tc>
              <w:tc>
                <w:tcPr>
                  <w:tcW w:w="1281" w:type="pct"/>
                  <w:gridSpan w:val="3"/>
                  <w:noWrap w:val="0"/>
                  <w:vAlign w:val="center"/>
                </w:tcPr>
                <w:p>
                  <w:pPr>
                    <w:pStyle w:val="9"/>
                    <w:adjustRightInd w:val="0"/>
                    <w:snapToGrid w:val="0"/>
                    <w:spacing w:line="276" w:lineRule="auto"/>
                    <w:ind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鹅黄色或草绿</w:t>
                  </w:r>
                </w:p>
                <w:p>
                  <w:pPr>
                    <w:pStyle w:val="9"/>
                    <w:adjustRightInd w:val="0"/>
                    <w:snapToGrid w:val="0"/>
                    <w:spacing w:line="276" w:lineRule="auto"/>
                    <w:ind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色，顶部略红</w:t>
                  </w:r>
                </w:p>
              </w:tc>
              <w:tc>
                <w:tcPr>
                  <w:tcW w:w="200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浅黄色至嫩黄色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形态</w:t>
                  </w:r>
                </w:p>
              </w:tc>
              <w:tc>
                <w:tcPr>
                  <w:tcW w:w="1281" w:type="pct"/>
                  <w:gridSpan w:val="3"/>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倒卵形</w:t>
                  </w:r>
                </w:p>
              </w:tc>
              <w:tc>
                <w:tcPr>
                  <w:tcW w:w="2006" w:type="pct"/>
                  <w:gridSpan w:val="2"/>
                  <w:noWrap w:val="0"/>
                  <w:vAlign w:val="center"/>
                </w:tcPr>
                <w:p>
                  <w:pPr>
                    <w:pStyle w:val="9"/>
                    <w:adjustRightInd w:val="0"/>
                    <w:snapToGrid w:val="0"/>
                    <w:spacing w:line="276" w:lineRule="auto"/>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圆形，鸭梨果柄处与异形凸起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口感</w:t>
                  </w:r>
                </w:p>
              </w:tc>
              <w:tc>
                <w:tcPr>
                  <w:tcW w:w="1281" w:type="pct"/>
                  <w:gridSpan w:val="3"/>
                  <w:noWrap w:val="0"/>
                  <w:vAlign w:val="center"/>
                </w:tcPr>
                <w:p>
                  <w:pPr>
                    <w:pStyle w:val="9"/>
                    <w:adjustRightInd w:val="0"/>
                    <w:snapToGrid w:val="0"/>
                    <w:spacing w:line="276" w:lineRule="auto"/>
                    <w:ind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皮薄、柔细、爽甜多汁</w:t>
                  </w:r>
                </w:p>
              </w:tc>
              <w:tc>
                <w:tcPr>
                  <w:tcW w:w="200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皮薄清甜多汁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手感</w:t>
                  </w:r>
                </w:p>
              </w:tc>
              <w:tc>
                <w:tcPr>
                  <w:tcW w:w="1281" w:type="pct"/>
                  <w:gridSpan w:val="3"/>
                  <w:noWrap w:val="0"/>
                  <w:vAlign w:val="center"/>
                </w:tcPr>
                <w:p>
                  <w:pPr>
                    <w:pStyle w:val="9"/>
                    <w:adjustRightInd w:val="0"/>
                    <w:snapToGrid w:val="0"/>
                    <w:spacing w:line="276" w:lineRule="auto"/>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果皮较光滑细腻</w:t>
                  </w:r>
                </w:p>
              </w:tc>
              <w:tc>
                <w:tcPr>
                  <w:tcW w:w="200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果皮较光滑细腻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劣品拒收</w:t>
                  </w:r>
                </w:p>
              </w:tc>
              <w:tc>
                <w:tcPr>
                  <w:tcW w:w="3287" w:type="pct"/>
                  <w:gridSpan w:val="5"/>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果品变软及失去光泽，压伤、擦伤、淤伤，失水</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皱皮、梨心变黑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1439" w:type="pct"/>
                  <w:gridSpan w:val="3"/>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品名</w:t>
                  </w:r>
                </w:p>
              </w:tc>
              <w:tc>
                <w:tcPr>
                  <w:tcW w:w="1281" w:type="pct"/>
                  <w:gridSpan w:val="3"/>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布林、李子</w:t>
                  </w:r>
                </w:p>
              </w:tc>
              <w:tc>
                <w:tcPr>
                  <w:tcW w:w="200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油桃、桃驳李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restar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感官要求</w:t>
                  </w: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色泽</w:t>
                  </w:r>
                </w:p>
              </w:tc>
              <w:tc>
                <w:tcPr>
                  <w:tcW w:w="1281" w:type="pct"/>
                  <w:gridSpan w:val="3"/>
                  <w:noWrap w:val="0"/>
                  <w:vAlign w:val="center"/>
                </w:tcPr>
                <w:p>
                  <w:pPr>
                    <w:pStyle w:val="9"/>
                    <w:adjustRightInd w:val="0"/>
                    <w:snapToGrid w:val="0"/>
                    <w:spacing w:line="276" w:lineRule="auto"/>
                    <w:ind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根据品种不同为黄色、红色、深红色、褐红色等</w:t>
                  </w:r>
                </w:p>
              </w:tc>
              <w:tc>
                <w:tcPr>
                  <w:tcW w:w="200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橙红色至深红色、底部黄色、有光泽。果肉黄色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形态</w:t>
                  </w:r>
                </w:p>
              </w:tc>
              <w:tc>
                <w:tcPr>
                  <w:tcW w:w="1281" w:type="pct"/>
                  <w:gridSpan w:val="3"/>
                  <w:noWrap w:val="0"/>
                  <w:vAlign w:val="center"/>
                </w:tcPr>
                <w:p>
                  <w:pPr>
                    <w:pStyle w:val="9"/>
                    <w:adjustRightInd w:val="0"/>
                    <w:snapToGrid w:val="0"/>
                    <w:spacing w:line="276" w:lineRule="auto"/>
                    <w:ind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饱满圆形、果皮光滑，难剥离</w:t>
                  </w:r>
                </w:p>
              </w:tc>
              <w:tc>
                <w:tcPr>
                  <w:tcW w:w="200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圆形果皮光滑，难剥离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口感</w:t>
                  </w:r>
                </w:p>
              </w:tc>
              <w:tc>
                <w:tcPr>
                  <w:tcW w:w="1281" w:type="pct"/>
                  <w:gridSpan w:val="3"/>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滋味酸甜、柔</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软</w:t>
                  </w:r>
                </w:p>
              </w:tc>
              <w:tc>
                <w:tcPr>
                  <w:tcW w:w="200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口感爽脆、汁较少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手感</w:t>
                  </w:r>
                </w:p>
              </w:tc>
              <w:tc>
                <w:tcPr>
                  <w:tcW w:w="1281" w:type="pct"/>
                  <w:gridSpan w:val="3"/>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圆润结实</w:t>
                  </w:r>
                </w:p>
              </w:tc>
              <w:tc>
                <w:tcPr>
                  <w:tcW w:w="200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坚硬，成熟后变软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劣品拒收</w:t>
                  </w:r>
                </w:p>
              </w:tc>
              <w:tc>
                <w:tcPr>
                  <w:tcW w:w="3287" w:type="pct"/>
                  <w:gridSpan w:val="5"/>
                  <w:noWrap w:val="0"/>
                  <w:vAlign w:val="center"/>
                </w:tcPr>
                <w:p>
                  <w:pPr>
                    <w:pStyle w:val="9"/>
                    <w:adjustRightInd w:val="0"/>
                    <w:snapToGrid w:val="0"/>
                    <w:spacing w:line="276" w:lineRule="auto"/>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萎缩失水、过熟或无光泽腐烂机械损伤或虫害损伤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27" w:type="pct"/>
                  <w:gridSpan w:val="4"/>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品名</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芦柑、广柑</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脐橙、锦橙</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沙田柚、蜜柚、西柚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restar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感官要求</w:t>
                  </w: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色泽</w:t>
                  </w:r>
                </w:p>
              </w:tc>
              <w:tc>
                <w:tcPr>
                  <w:tcW w:w="2150" w:type="pct"/>
                  <w:gridSpan w:val="3"/>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橙色至橙红色有光泽</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黄绿色、橙色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形态</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圆形、果皮粗厚、易剥离</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圆形、果皮粗厚、易剥离</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果实大、圆形或</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梨形、果皮厚达1 cm，难剥离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口感</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果汁丰富，较</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甜</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果汁丰富，较甜</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酸甜适口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手感</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表面不平滑</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重实光滑</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重实、果皮稍粗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劣品拒收</w:t>
                  </w:r>
                </w:p>
              </w:tc>
              <w:tc>
                <w:tcPr>
                  <w:tcW w:w="3473" w:type="pct"/>
                  <w:gridSpan w:val="5"/>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皮干或爆裂,表面出现斑点或机械损伤果肉失水变</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干，外皮干硬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27" w:type="pct"/>
                  <w:gridSpan w:val="4"/>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品名</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西瓜（黑美人</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、有籽无籽西瓜）</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哈密瓜</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香瓜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restar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感官要求</w:t>
                  </w: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色泽</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黄绿色至墨绿色，有光泽，可能有条纹，果肉鲜红色</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黄色、有不规则花纹、果肉粉红色</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白色或黄色，果肉白色，表面有略浅凹槽花纹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形态</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椭圆形或圆形</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椭圆或橄榄形</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椭圆形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口感</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甜度高</w:t>
                  </w:r>
                  <w:r>
                    <w:rPr>
                      <w:rFonts w:hint="eastAsia" w:ascii="宋体" w:hAnsi="宋体" w:eastAsia="宋体" w:cs="宋体"/>
                      <w:b w:val="0"/>
                      <w:bCs w:val="0"/>
                      <w:smallCaps w:val="0"/>
                      <w:snapToGrid w:val="0"/>
                      <w:color w:val="000000"/>
                      <w:spacing w:val="-1"/>
                      <w:sz w:val="21"/>
                      <w:szCs w:val="21"/>
                      <w:highlight w:val="none"/>
                      <w:lang w:val="en-US" w:eastAsia="zh-CN" w:bidi="ar-SA"/>
                    </w:rPr>
                    <w:cr/>
                  </w:r>
                  <w:r>
                    <w:rPr>
                      <w:rFonts w:hint="eastAsia" w:ascii="宋体" w:hAnsi="宋体" w:eastAsia="宋体" w:cs="宋体"/>
                      <w:b w:val="0"/>
                      <w:bCs w:val="0"/>
                      <w:smallCaps w:val="0"/>
                      <w:snapToGrid w:val="0"/>
                      <w:color w:val="000000"/>
                      <w:spacing w:val="-1"/>
                      <w:sz w:val="21"/>
                      <w:szCs w:val="21"/>
                      <w:highlight w:val="none"/>
                      <w:lang w:val="en-US" w:eastAsia="zh-CN" w:bidi="ar-SA"/>
                    </w:rPr>
                    <w:t>水分大</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甜度高、口感爽脆</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甜度高、口感爽脆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手感</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表皮光滑、厚重</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表皮粗糙、厚实</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表皮光滑，略有弹性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劣品拒收</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爆裂、有柔软点、过熟（瓜肉深红色、口味令人不快）、过生（瓜肉粉红色、味酸</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、不甜）、发</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霉</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皮呈深色点，爆裂、萎缩及失水， 机械或虫害损伤</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过度柔软，表面起皱，爆裂，萎缩及失水。机械或虫害损伤</w:t>
                  </w:r>
                </w:p>
              </w:tc>
            </w:tr>
          </w:tbl>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 xml:space="preserve">2.包装与标志要求： </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包装：容器(框、箱、袋)要求清洁、干燥、牢固、透气，无污染、无异味、无霉变现象；标志：每件包装须按《农产品包装和标识管理办法》贴标签，并标明产地、品种、净含量、生产单位及地址和采收日期。</w:t>
            </w:r>
          </w:p>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3.供应链要求：水果来源于受政府部门监管的自有基地、食材基地或专业流通市场，严禁收购散户的水果进行供应。必须保证供应的水果符合卫生质量标准，同时承担因所供质量问题引起的一切事故后果。</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4.对水果生产商管理要求：水果种植地配有专用的农药喷洒用具及其他农用器具；水果采收后需用清洁、无污染的运输工具运抵加工地点。</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5.对水果生产商环境要求：水果种种植地周围需设有隔离网、隔离带或其他有效隔离措施，确保不受临近农田施肥和用药污染；水果种植地周围无养殖场、化工场、垃圾处理厂、医院以及污水排放管道等污染源。</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6.对水果生产商水源要求：水果种植地应有清洁无污染的灌溉水源；灌溉水井设有保护设施。灌溉水源需经检测验证符合规定要求，一年内在蔬菜种植过程对水源进行2次监测。</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7.农药要求：必须符合食品安全管理部门的规定，严禁使用违禁药物；农药的采购、保管、发放、使用必须建立记录。</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8.对水果卫生质量要求：卫生质量指标，应符合我国无公害水果的卫生指标规定。</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9.部分瓜果类产品需加工（去皮、去籽、去衣、去头尾等）为半成品进行配送。采购人如有产品初加工的需求，中标人需提供不少于2名初加工人员（具有有效健康证明），配合采购人完成所供产品的初加工工作，并承担用工责任。</w:t>
            </w:r>
          </w:p>
          <w:p>
            <w:pPr>
              <w:pStyle w:val="9"/>
              <w:adjustRightInd w:val="0"/>
              <w:snapToGrid w:val="0"/>
              <w:spacing w:line="276" w:lineRule="auto"/>
              <w:ind w:left="100" w:leftChars="0" w:firstLine="416"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10.采购人与中标人可根据水果生产的季节、天气、流通市场供给情况等协商调整每周期采购计划中的品种和数量，中标人必须提供丰富多样化质量合格安全的品种供采购人选择。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306" w:type="pct"/>
            <w:vAlign w:val="center"/>
          </w:tcPr>
          <w:p>
            <w:pPr>
              <w:pStyle w:val="9"/>
              <w:spacing w:before="60" w:line="379" w:lineRule="auto"/>
              <w:ind w:left="130" w:leftChars="0" w:right="140" w:rightChars="0"/>
              <w:jc w:val="center"/>
              <w:rPr>
                <w:b/>
                <w:bCs w:val="0"/>
                <w:color w:val="auto"/>
                <w:sz w:val="21"/>
                <w:szCs w:val="21"/>
                <w:highlight w:val="none"/>
              </w:rPr>
            </w:pPr>
          </w:p>
        </w:tc>
        <w:tc>
          <w:tcPr>
            <w:tcW w:w="243" w:type="pct"/>
            <w:vAlign w:val="center"/>
          </w:tcPr>
          <w:p>
            <w:pPr>
              <w:pStyle w:val="9"/>
              <w:numPr>
                <w:ilvl w:val="0"/>
                <w:numId w:val="0"/>
              </w:numPr>
              <w:spacing w:before="60" w:line="379" w:lineRule="auto"/>
              <w:ind w:leftChars="0" w:right="140" w:rightChars="0"/>
              <w:jc w:val="both"/>
              <w:rPr>
                <w:rFonts w:hint="default" w:ascii="宋体" w:hAnsi="宋体" w:eastAsia="宋体" w:cs="宋体"/>
                <w:b/>
                <w:bCs w:val="0"/>
                <w:smallCaps w:val="0"/>
                <w:snapToGrid w:val="0"/>
                <w:color w:val="000000"/>
                <w:spacing w:val="-1"/>
                <w:sz w:val="21"/>
                <w:szCs w:val="21"/>
                <w:highlight w:val="none"/>
                <w:lang w:val="en-US" w:eastAsia="zh-CN" w:bidi="ar-SA"/>
              </w:rPr>
            </w:pPr>
            <w:r>
              <w:rPr>
                <w:rFonts w:hint="eastAsia" w:eastAsia="宋体" w:cs="宋体"/>
                <w:b/>
                <w:bCs w:val="0"/>
                <w:smallCaps w:val="0"/>
                <w:snapToGrid w:val="0"/>
                <w:color w:val="000000"/>
                <w:spacing w:val="-1"/>
                <w:sz w:val="21"/>
                <w:szCs w:val="21"/>
                <w:highlight w:val="none"/>
                <w:lang w:val="en-US" w:eastAsia="zh-CN" w:bidi="ar-SA"/>
              </w:rPr>
              <w:t>6.</w:t>
            </w:r>
          </w:p>
        </w:tc>
        <w:tc>
          <w:tcPr>
            <w:tcW w:w="4449" w:type="pct"/>
            <w:vAlign w:val="top"/>
          </w:tcPr>
          <w:p>
            <w:pPr>
              <w:autoSpaceDE w:val="0"/>
              <w:autoSpaceDN w:val="0"/>
              <w:adjustRightInd w:val="0"/>
              <w:spacing w:line="360" w:lineRule="auto"/>
              <w:rPr>
                <w:rFonts w:ascii="宋体" w:hAnsi="宋体" w:cs="宋体"/>
                <w:b/>
                <w:smallCaps/>
                <w:color w:val="auto"/>
                <w:sz w:val="21"/>
                <w:szCs w:val="21"/>
                <w:highlight w:val="none"/>
                <w:lang w:val="zh-CN" w:bidi="zh-CN"/>
              </w:rPr>
            </w:pPr>
            <w:r>
              <w:rPr>
                <w:rFonts w:hint="eastAsia" w:ascii="宋体" w:hAnsi="宋体" w:cs="宋体"/>
                <w:b/>
                <w:smallCaps/>
                <w:color w:val="auto"/>
                <w:sz w:val="21"/>
                <w:szCs w:val="21"/>
                <w:highlight w:val="none"/>
                <w:lang w:val="zh-CN" w:bidi="zh-CN"/>
              </w:rPr>
              <w:t>食材退换</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一）凡要求中标人提供检验检疫合格证而未能提供，或食材质量未达到要求,如假冒伪劣、以次充好、变质、发霉、过期等,采购人均可拒收和要求重新补货。如中标人所供食材规格未能完全符合要求或货不对板的，</w:t>
            </w:r>
            <w:r>
              <w:rPr>
                <w:rFonts w:hint="eastAsia" w:ascii="宋体" w:hAnsi="宋体" w:cs="宋体"/>
                <w:smallCaps/>
                <w:color w:val="auto"/>
                <w:sz w:val="21"/>
                <w:szCs w:val="21"/>
                <w:highlight w:val="none"/>
                <w:lang w:val="en-US" w:bidi="zh-CN"/>
              </w:rPr>
              <w:t>偏差率30%或以下</w:t>
            </w:r>
            <w:r>
              <w:rPr>
                <w:rFonts w:hint="eastAsia" w:ascii="宋体" w:hAnsi="宋体" w:cs="宋体"/>
                <w:smallCaps/>
                <w:color w:val="auto"/>
                <w:sz w:val="21"/>
                <w:szCs w:val="21"/>
                <w:highlight w:val="none"/>
                <w:lang w:val="zh-CN" w:bidi="zh-CN"/>
              </w:rPr>
              <w:t>,采购人有权拒收,但经中标人请求,采购人在不影响饮食卫生标准的情况下同意接收的,采购人有权对该食材按原价的50%支付货款。</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二）一经发现中标人供应以下对人体健康有害的食材,除全部退货外,由此造成的经济损失及法律责任由中标人承担,性质严重的,视为中标人虚假承诺，采购人将相关问题依程序报采购主管部门处理，取消中标人供货资格，并追究相关责任。</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1.腐败变质、霉变、生虫、污秽不洁、感官性状异常的；</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2.含有毒有害物质或被有害物质污染；</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3.致病性寄生虫、微生物含量超过国家限定标准的；</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4.未经动物检疫部门检疫、检验或检验检疫不合格的肉类及其制品；</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5.病死、毒死或者死因不明的禽畜等及其制品；</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6.掺假、掺杂、以次充好；</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7.用非食品原料加工或加入非食品化学物质的。</w:t>
            </w:r>
          </w:p>
          <w:p>
            <w:pPr>
              <w:autoSpaceDE w:val="0"/>
              <w:autoSpaceDN w:val="0"/>
              <w:adjustRightInd w:val="0"/>
              <w:spacing w:line="360" w:lineRule="auto"/>
              <w:ind w:firstLine="360" w:firstLineChars="0"/>
              <w:rPr>
                <w:rFonts w:hint="eastAsia" w:ascii="宋体" w:hAnsi="宋体" w:eastAsia="宋体" w:cs="宋体"/>
                <w:b w:val="0"/>
                <w:bCs/>
                <w:smallCaps w:val="0"/>
                <w:snapToGrid w:val="0"/>
                <w:color w:val="000000"/>
                <w:spacing w:val="-1"/>
                <w:sz w:val="21"/>
                <w:szCs w:val="21"/>
                <w:highlight w:val="none"/>
                <w:lang w:val="en-US" w:eastAsia="zh-CN" w:bidi="ar-SA"/>
              </w:rPr>
            </w:pPr>
            <w:r>
              <w:rPr>
                <w:rFonts w:hint="eastAsia" w:ascii="宋体" w:hAnsi="宋体" w:cs="宋体"/>
                <w:smallCaps/>
                <w:color w:val="auto"/>
                <w:sz w:val="21"/>
                <w:szCs w:val="21"/>
                <w:highlight w:val="none"/>
                <w:lang w:val="zh-CN" w:bidi="zh-CN"/>
              </w:rPr>
              <w:t>（三）采购人在使用中标人提供的食材中，发现中标人的食材不符合合同约定的要求或不符合国家食品质量、卫生安全标准的，采购人在24小时内通知中标人的人员到场进行确认，对食材进行封存，并在24小时内送国家检测部门进行检测。经检测食材不符合国家相关质量、安全卫生标准的，检测费用由中标人承担，采购人有权退货或解除合同，中标人承担合同不能履行的违约责任，并赔偿采购人的经济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8" w:hRule="atLeast"/>
        </w:trPr>
        <w:tc>
          <w:tcPr>
            <w:tcW w:w="306" w:type="pct"/>
            <w:vAlign w:val="center"/>
          </w:tcPr>
          <w:p>
            <w:pPr>
              <w:pStyle w:val="9"/>
              <w:spacing w:before="60" w:line="379" w:lineRule="auto"/>
              <w:ind w:left="130" w:leftChars="0" w:right="140" w:rightChars="0"/>
              <w:jc w:val="center"/>
              <w:rPr>
                <w:b w:val="0"/>
                <w:bCs/>
                <w:color w:val="auto"/>
                <w:sz w:val="21"/>
                <w:szCs w:val="21"/>
                <w:highlight w:val="none"/>
              </w:rPr>
            </w:pPr>
          </w:p>
        </w:tc>
        <w:tc>
          <w:tcPr>
            <w:tcW w:w="243" w:type="pct"/>
            <w:vAlign w:val="center"/>
          </w:tcPr>
          <w:p>
            <w:pPr>
              <w:pStyle w:val="9"/>
              <w:numPr>
                <w:ilvl w:val="0"/>
                <w:numId w:val="0"/>
              </w:numPr>
              <w:spacing w:before="60" w:line="379" w:lineRule="auto"/>
              <w:ind w:leftChars="0" w:right="140" w:rightChars="0"/>
              <w:jc w:val="both"/>
              <w:rPr>
                <w:rFonts w:hint="default" w:ascii="宋体" w:hAnsi="宋体" w:eastAsia="宋体" w:cs="宋体"/>
                <w:b/>
                <w:bCs w:val="0"/>
                <w:smallCaps w:val="0"/>
                <w:snapToGrid w:val="0"/>
                <w:color w:val="000000"/>
                <w:spacing w:val="-1"/>
                <w:sz w:val="21"/>
                <w:szCs w:val="21"/>
                <w:highlight w:val="none"/>
                <w:lang w:val="en-US" w:eastAsia="zh-CN" w:bidi="ar-SA"/>
              </w:rPr>
            </w:pPr>
            <w:r>
              <w:rPr>
                <w:rFonts w:hint="eastAsia" w:eastAsia="宋体" w:cs="宋体"/>
                <w:b/>
                <w:bCs w:val="0"/>
                <w:smallCaps w:val="0"/>
                <w:snapToGrid w:val="0"/>
                <w:color w:val="000000"/>
                <w:spacing w:val="-1"/>
                <w:sz w:val="21"/>
                <w:szCs w:val="21"/>
                <w:highlight w:val="none"/>
                <w:lang w:val="en-US" w:eastAsia="zh-CN" w:bidi="ar-SA"/>
              </w:rPr>
              <w:t>7.</w:t>
            </w:r>
          </w:p>
        </w:tc>
        <w:tc>
          <w:tcPr>
            <w:tcW w:w="4449" w:type="pct"/>
            <w:vAlign w:val="top"/>
          </w:tcPr>
          <w:p>
            <w:pPr>
              <w:autoSpaceDE w:val="0"/>
              <w:autoSpaceDN w:val="0"/>
              <w:adjustRightInd w:val="0"/>
              <w:spacing w:line="360" w:lineRule="auto"/>
              <w:rPr>
                <w:rFonts w:ascii="宋体" w:hAnsi="宋体" w:cs="宋体"/>
                <w:b/>
                <w:smallCaps/>
                <w:color w:val="auto"/>
                <w:sz w:val="21"/>
                <w:szCs w:val="21"/>
                <w:highlight w:val="none"/>
                <w:lang w:val="zh-CN" w:bidi="zh-CN"/>
              </w:rPr>
            </w:pPr>
            <w:r>
              <w:rPr>
                <w:rFonts w:hint="eastAsia" w:ascii="宋体" w:hAnsi="宋体" w:cs="宋体"/>
                <w:b/>
                <w:smallCaps/>
                <w:color w:val="auto"/>
                <w:sz w:val="21"/>
                <w:szCs w:val="21"/>
                <w:highlight w:val="none"/>
                <w:lang w:val="zh-CN" w:bidi="zh-CN"/>
              </w:rPr>
              <w:t>数量要求</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（一）中标人所送食材的数量和品种应与采购人订货数量和品种一致，并以采购人的验货数量和品种为准。</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（二）当采购人所订食材在市场上缺货或数量不足时，中标人应及早向采购人汇报、并商量解决办法,确保采购人正常供餐。</w:t>
            </w:r>
          </w:p>
          <w:p>
            <w:pPr>
              <w:autoSpaceDE w:val="0"/>
              <w:autoSpaceDN w:val="0"/>
              <w:adjustRightInd w:val="0"/>
              <w:spacing w:line="360" w:lineRule="auto"/>
              <w:ind w:firstLine="360" w:firstLineChars="0"/>
              <w:rPr>
                <w:rFonts w:hint="eastAsia" w:ascii="宋体" w:hAnsi="宋体" w:eastAsia="宋体" w:cs="宋体"/>
                <w:b w:val="0"/>
                <w:bCs/>
                <w:smallCaps w:val="0"/>
                <w:snapToGrid w:val="0"/>
                <w:color w:val="000000"/>
                <w:spacing w:val="-1"/>
                <w:sz w:val="21"/>
                <w:szCs w:val="21"/>
                <w:highlight w:val="none"/>
                <w:lang w:val="en-US" w:eastAsia="zh-CN" w:bidi="ar-SA"/>
              </w:rPr>
            </w:pPr>
            <w:r>
              <w:rPr>
                <w:rFonts w:hint="eastAsia" w:ascii="宋体" w:hAnsi="宋体" w:cs="宋体"/>
                <w:smallCaps/>
                <w:color w:val="auto"/>
                <w:sz w:val="21"/>
                <w:szCs w:val="21"/>
                <w:highlight w:val="none"/>
                <w:lang w:val="zh-CN" w:bidi="zh-CN"/>
              </w:rPr>
              <w:t>（三）特殊情况下，当采购人需临时增补食材时,中标人应安排专人负责,须在2小时内将所补食材送到采购人饭堂,并无条件协助采购人进行切配清洗工作,以保证采购人的按时开餐需要。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8" w:hRule="atLeast"/>
        </w:trPr>
        <w:tc>
          <w:tcPr>
            <w:tcW w:w="306" w:type="pct"/>
            <w:vAlign w:val="center"/>
          </w:tcPr>
          <w:p>
            <w:pPr>
              <w:pStyle w:val="9"/>
              <w:spacing w:before="60" w:line="379" w:lineRule="auto"/>
              <w:ind w:left="130" w:leftChars="0" w:right="140" w:rightChars="0"/>
              <w:jc w:val="center"/>
              <w:rPr>
                <w:b w:val="0"/>
                <w:bCs/>
                <w:color w:val="auto"/>
                <w:sz w:val="21"/>
                <w:szCs w:val="21"/>
                <w:highlight w:val="none"/>
              </w:rPr>
            </w:pPr>
          </w:p>
        </w:tc>
        <w:tc>
          <w:tcPr>
            <w:tcW w:w="243" w:type="pct"/>
            <w:vAlign w:val="center"/>
          </w:tcPr>
          <w:p>
            <w:pPr>
              <w:pStyle w:val="9"/>
              <w:numPr>
                <w:ilvl w:val="0"/>
                <w:numId w:val="0"/>
              </w:numPr>
              <w:spacing w:before="60" w:line="379" w:lineRule="auto"/>
              <w:ind w:leftChars="0" w:right="140" w:rightChars="0"/>
              <w:jc w:val="both"/>
              <w:rPr>
                <w:rFonts w:hint="default" w:ascii="宋体" w:hAnsi="宋体" w:eastAsia="宋体" w:cs="宋体"/>
                <w:b w:val="0"/>
                <w:bCs/>
                <w:smallCaps w:val="0"/>
                <w:snapToGrid w:val="0"/>
                <w:color w:val="000000"/>
                <w:spacing w:val="-1"/>
                <w:sz w:val="21"/>
                <w:szCs w:val="21"/>
                <w:highlight w:val="none"/>
                <w:lang w:val="en-US" w:eastAsia="zh-CN" w:bidi="ar-SA"/>
              </w:rPr>
            </w:pPr>
            <w:r>
              <w:rPr>
                <w:rFonts w:hint="eastAsia" w:eastAsia="宋体" w:cs="宋体"/>
                <w:b/>
                <w:bCs w:val="0"/>
                <w:smallCaps w:val="0"/>
                <w:snapToGrid w:val="0"/>
                <w:color w:val="000000"/>
                <w:spacing w:val="-1"/>
                <w:sz w:val="21"/>
                <w:szCs w:val="21"/>
                <w:highlight w:val="none"/>
                <w:lang w:val="en-US" w:eastAsia="zh-CN" w:bidi="ar-SA"/>
              </w:rPr>
              <w:t>8.</w:t>
            </w:r>
          </w:p>
        </w:tc>
        <w:tc>
          <w:tcPr>
            <w:tcW w:w="4449" w:type="pct"/>
            <w:vAlign w:val="top"/>
          </w:tcPr>
          <w:p>
            <w:pPr>
              <w:autoSpaceDE w:val="0"/>
              <w:autoSpaceDN w:val="0"/>
              <w:adjustRightInd w:val="0"/>
              <w:spacing w:line="360" w:lineRule="auto"/>
              <w:rPr>
                <w:rFonts w:ascii="宋体" w:hAnsi="宋体" w:cs="宋体"/>
                <w:b/>
                <w:smallCaps/>
                <w:color w:val="auto"/>
                <w:sz w:val="21"/>
                <w:szCs w:val="21"/>
                <w:highlight w:val="none"/>
                <w:lang w:val="zh-CN" w:bidi="zh-CN"/>
              </w:rPr>
            </w:pPr>
            <w:r>
              <w:rPr>
                <w:rFonts w:hint="eastAsia" w:ascii="宋体" w:hAnsi="宋体" w:cs="宋体"/>
                <w:b/>
                <w:smallCaps/>
                <w:color w:val="auto"/>
                <w:sz w:val="21"/>
                <w:szCs w:val="21"/>
                <w:highlight w:val="none"/>
                <w:lang w:val="zh-CN" w:bidi="zh-CN"/>
              </w:rPr>
              <w:t>保密要求</w:t>
            </w:r>
          </w:p>
          <w:p>
            <w:pPr>
              <w:autoSpaceDE w:val="0"/>
              <w:autoSpaceDN w:val="0"/>
              <w:adjustRightInd w:val="0"/>
              <w:spacing w:line="360" w:lineRule="auto"/>
              <w:ind w:firstLine="360" w:firstLineChars="0"/>
              <w:rPr>
                <w:rFonts w:hint="eastAsia" w:ascii="宋体" w:hAnsi="宋体" w:eastAsia="宋体" w:cs="宋体"/>
                <w:b w:val="0"/>
                <w:bCs/>
                <w:smallCaps w:val="0"/>
                <w:snapToGrid w:val="0"/>
                <w:color w:val="000000"/>
                <w:spacing w:val="-1"/>
                <w:sz w:val="21"/>
                <w:szCs w:val="21"/>
                <w:highlight w:val="none"/>
                <w:lang w:val="en-US" w:eastAsia="zh-CN" w:bidi="ar-SA"/>
              </w:rPr>
            </w:pPr>
            <w:r>
              <w:rPr>
                <w:rFonts w:hint="eastAsia" w:ascii="宋体" w:hAnsi="宋体" w:cs="宋体"/>
                <w:smallCaps/>
                <w:color w:val="auto"/>
                <w:sz w:val="21"/>
                <w:szCs w:val="21"/>
                <w:highlight w:val="none"/>
                <w:lang w:val="zh-CN" w:bidi="zh-CN"/>
              </w:rPr>
              <w:t>中标人在实施食材供货期间，不得将供货的实际数量及供货地点泄露给其他企业或者个人，中标人必须指派相对固定的人员和车辆完成食材配送服务，并需将配送人员和车辆的详细资料报采购人备案，货物配送人员必须遵纪守法、品行良好，无违法犯罪记录。如需要更换配送人员和车辆，必须事先通知采购人并将其个人及车辆资料送采购人审核，审核合格者才能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8" w:hRule="atLeast"/>
        </w:trPr>
        <w:tc>
          <w:tcPr>
            <w:tcW w:w="306" w:type="pct"/>
            <w:vAlign w:val="center"/>
          </w:tcPr>
          <w:p>
            <w:pPr>
              <w:pStyle w:val="9"/>
              <w:spacing w:before="60" w:line="379" w:lineRule="auto"/>
              <w:ind w:left="130" w:leftChars="0" w:right="140" w:rightChars="0"/>
              <w:jc w:val="center"/>
              <w:rPr>
                <w:b w:val="0"/>
                <w:bCs/>
                <w:color w:val="auto"/>
                <w:sz w:val="21"/>
                <w:szCs w:val="21"/>
                <w:highlight w:val="none"/>
              </w:rPr>
            </w:pPr>
          </w:p>
        </w:tc>
        <w:tc>
          <w:tcPr>
            <w:tcW w:w="243" w:type="pct"/>
            <w:vAlign w:val="center"/>
          </w:tcPr>
          <w:p>
            <w:pPr>
              <w:pStyle w:val="9"/>
              <w:numPr>
                <w:ilvl w:val="0"/>
                <w:numId w:val="0"/>
              </w:numPr>
              <w:spacing w:before="60" w:line="379" w:lineRule="auto"/>
              <w:ind w:leftChars="0" w:right="140" w:rightChars="0"/>
              <w:jc w:val="both"/>
              <w:rPr>
                <w:rFonts w:hint="default" w:ascii="宋体" w:hAnsi="宋体" w:eastAsia="宋体" w:cs="宋体"/>
                <w:b w:val="0"/>
                <w:bCs/>
                <w:smallCaps w:val="0"/>
                <w:snapToGrid w:val="0"/>
                <w:color w:val="000000"/>
                <w:spacing w:val="-1"/>
                <w:sz w:val="21"/>
                <w:szCs w:val="21"/>
                <w:highlight w:val="none"/>
                <w:lang w:val="en-US" w:eastAsia="zh-CN" w:bidi="ar-SA"/>
              </w:rPr>
            </w:pPr>
            <w:r>
              <w:rPr>
                <w:rFonts w:hint="eastAsia" w:eastAsia="宋体" w:cs="宋体"/>
                <w:b/>
                <w:bCs w:val="0"/>
                <w:smallCaps w:val="0"/>
                <w:snapToGrid w:val="0"/>
                <w:color w:val="000000"/>
                <w:spacing w:val="-1"/>
                <w:sz w:val="21"/>
                <w:szCs w:val="21"/>
                <w:highlight w:val="none"/>
                <w:lang w:val="en-US" w:eastAsia="zh-CN" w:bidi="ar-SA"/>
              </w:rPr>
              <w:t>9.</w:t>
            </w:r>
          </w:p>
        </w:tc>
        <w:tc>
          <w:tcPr>
            <w:tcW w:w="4449" w:type="pct"/>
            <w:vAlign w:val="top"/>
          </w:tcPr>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b/>
                <w:bCs/>
                <w:smallCaps/>
                <w:color w:val="auto"/>
                <w:sz w:val="21"/>
                <w:szCs w:val="21"/>
                <w:highlight w:val="none"/>
                <w:lang w:val="zh-CN" w:bidi="zh-CN"/>
              </w:rPr>
              <w:t>考核及处理办法</w:t>
            </w:r>
            <w:r>
              <w:rPr>
                <w:rFonts w:hint="eastAsia" w:ascii="宋体" w:hAnsi="宋体" w:cs="宋体"/>
                <w:smallCaps/>
                <w:color w:val="auto"/>
                <w:sz w:val="21"/>
                <w:szCs w:val="21"/>
                <w:highlight w:val="none"/>
                <w:lang w:val="zh-CN" w:bidi="zh-CN"/>
              </w:rPr>
              <w:t xml:space="preserve"> </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 xml:space="preserve">①考核办法：采购人每月对中标人进行考核，考核实行扣分制，即基础分100分 ，在此基础上出现各种违规行为（详见考核表）扣减一定的分值，每月得分将作为该月结算报销的依据。 </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 xml:space="preserve">②考核指标：详见附件《食材供货及配送服务月度考核表》。 </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③处理办法：每月考核得分高于90分（含）的，当月结算足额支付；每月考核得分80分（含）-90分（不含）的，当月结算款按95%支付；每月考核得分70分（含）-80分（不含）的，当月结算款按88%支付；每月考核得分60分（含）-70分（不含）的，当月结算款按80%支付； 每月考核得分低于60分（不含）的，当月结算款按（得分÷10</w:t>
            </w:r>
            <w:r>
              <w:rPr>
                <w:rFonts w:hint="eastAsia" w:ascii="宋体" w:hAnsi="宋体" w:cs="宋体"/>
                <w:smallCaps/>
                <w:color w:val="auto"/>
                <w:sz w:val="21"/>
                <w:szCs w:val="21"/>
                <w:highlight w:val="none"/>
                <w:lang w:bidi="zh-CN"/>
              </w:rPr>
              <w:t>0</w:t>
            </w:r>
            <w:r>
              <w:rPr>
                <w:rFonts w:hint="eastAsia" w:ascii="宋体" w:hAnsi="宋体" w:cs="宋体"/>
                <w:smallCaps/>
                <w:color w:val="auto"/>
                <w:sz w:val="21"/>
                <w:szCs w:val="21"/>
                <w:highlight w:val="none"/>
                <w:lang w:val="zh-CN" w:bidi="zh-CN"/>
              </w:rPr>
              <w:t>）×100%支付；连续两个月低于60分或一年累计三个月低于60分的，视为中标人违约，采购人有权单方解除合同，且有权按照本合同采购总额的10%要求中标人支付违约金，且如中标人的前述违约行为给采购人造成损失，采购人有权另行追究中标人的赔偿责任。</w:t>
            </w:r>
          </w:p>
          <w:p>
            <w:pPr>
              <w:pStyle w:val="5"/>
              <w:ind w:left="0" w:leftChars="0" w:firstLine="0" w:firstLineChars="0"/>
              <w:jc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食材供货及配送服务月度考核表</w:t>
            </w:r>
          </w:p>
          <w:tbl>
            <w:tblPr>
              <w:tblStyle w:val="6"/>
              <w:tblW w:w="5000" w:type="pct"/>
              <w:tblInd w:w="0" w:type="dxa"/>
              <w:tblLayout w:type="fixed"/>
              <w:tblCellMar>
                <w:top w:w="0" w:type="dxa"/>
                <w:left w:w="108" w:type="dxa"/>
                <w:bottom w:w="0" w:type="dxa"/>
                <w:right w:w="108" w:type="dxa"/>
              </w:tblCellMar>
            </w:tblPr>
            <w:tblGrid>
              <w:gridCol w:w="533"/>
              <w:gridCol w:w="950"/>
              <w:gridCol w:w="5120"/>
              <w:gridCol w:w="565"/>
              <w:gridCol w:w="484"/>
            </w:tblGrid>
            <w:tr>
              <w:tblPrEx>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序号</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指标</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考核要素和评估内容及其标准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分值</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得分</w:t>
                  </w:r>
                </w:p>
              </w:tc>
            </w:tr>
            <w:tr>
              <w:tblPrEx>
                <w:tblCellMar>
                  <w:top w:w="0" w:type="dxa"/>
                  <w:left w:w="108" w:type="dxa"/>
                  <w:bottom w:w="0" w:type="dxa"/>
                  <w:right w:w="108" w:type="dxa"/>
                </w:tblCellMar>
              </w:tblPrEx>
              <w:trPr>
                <w:trHeight w:val="102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准时送货</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送货均使用专用冷藏车（4-10月须开启冷藏设备，其余时间视气温情况而定），准时送达得10分；未用冷藏车或该开启冷藏设备而未开启冷藏设备发现一次扣</w:t>
                  </w:r>
                  <w:r>
                    <w:rPr>
                      <w:rStyle w:val="11"/>
                      <w:rFonts w:hint="default"/>
                      <w:color w:val="auto"/>
                      <w:sz w:val="21"/>
                      <w:szCs w:val="21"/>
                      <w:highlight w:val="none"/>
                      <w:lang w:bidi="ar"/>
                    </w:rPr>
                    <w:t>2</w:t>
                  </w:r>
                  <w:r>
                    <w:rPr>
                      <w:rStyle w:val="10"/>
                      <w:rFonts w:hint="default"/>
                      <w:color w:val="auto"/>
                      <w:sz w:val="21"/>
                      <w:szCs w:val="21"/>
                      <w:highlight w:val="none"/>
                      <w:lang w:bidi="ar"/>
                    </w:rPr>
                    <w:t>分，扣完为止，非不可抗拒情况下延误一次扣2分，扣完为止。委托其他车辆或人员代送此项不得分。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765"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服务团队</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有专门的团队服务人员，定期沟通协调</w:t>
                  </w:r>
                  <w:r>
                    <w:rPr>
                      <w:rStyle w:val="11"/>
                      <w:rFonts w:hint="default"/>
                      <w:color w:val="auto"/>
                      <w:sz w:val="21"/>
                      <w:szCs w:val="21"/>
                      <w:highlight w:val="none"/>
                      <w:lang w:bidi="ar"/>
                    </w:rPr>
                    <w:t>得</w:t>
                  </w:r>
                  <w:r>
                    <w:rPr>
                      <w:rStyle w:val="10"/>
                      <w:rFonts w:hint="default"/>
                      <w:color w:val="auto"/>
                      <w:sz w:val="21"/>
                      <w:szCs w:val="21"/>
                      <w:highlight w:val="none"/>
                      <w:lang w:bidi="ar"/>
                    </w:rPr>
                    <w:t>2分。提供配送车辆信息材料得2分。提供从业人员身份证、健康证明复印件及工作证明得4分，人车不符或人证不符发现1次扣1分。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8</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1275"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3</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服务态度</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工作人员工作认真，服务热情周到，服从采购单位饭堂内部规定，运送搬装文明得8分，工作人员野蛮运装导致原材料受损或污染的经查实1次扣1分，扣完为止。工作人员进入采购方</w:t>
                  </w:r>
                  <w:r>
                    <w:rPr>
                      <w:rStyle w:val="10"/>
                      <w:rFonts w:hint="eastAsia"/>
                      <w:color w:val="auto"/>
                      <w:sz w:val="21"/>
                      <w:szCs w:val="21"/>
                      <w:highlight w:val="none"/>
                      <w:lang w:eastAsia="zh-CN" w:bidi="ar"/>
                    </w:rPr>
                    <w:t>区域</w:t>
                  </w:r>
                  <w:r>
                    <w:rPr>
                      <w:rStyle w:val="10"/>
                      <w:rFonts w:hint="default"/>
                      <w:color w:val="auto"/>
                      <w:sz w:val="21"/>
                      <w:szCs w:val="21"/>
                      <w:highlight w:val="none"/>
                      <w:lang w:bidi="ar"/>
                    </w:rPr>
                    <w:t>不服从采购方管理，无正当理由与采购方人员争执的，经查实1次扣3分，扣完为止。工作人员现场操作需保证时效性，延误一次扣1分，扣完为止。</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8</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153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4</w:t>
                  </w:r>
                </w:p>
              </w:tc>
              <w:tc>
                <w:tcPr>
                  <w:tcW w:w="621"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保证质量</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保证商品质量，经过实验室功能检测，保证食材新鲜，场地直供，无以次（劣）充好现象，无过期或变质食品得</w:t>
                  </w:r>
                  <w:r>
                    <w:rPr>
                      <w:rFonts w:hint="eastAsia" w:ascii="宋体" w:hAnsi="宋体" w:cs="宋体"/>
                      <w:color w:val="auto"/>
                      <w:sz w:val="21"/>
                      <w:szCs w:val="21"/>
                      <w:highlight w:val="none"/>
                      <w:lang w:bidi="ar"/>
                    </w:rPr>
                    <w:t>10</w:t>
                  </w:r>
                  <w:r>
                    <w:rPr>
                      <w:rStyle w:val="10"/>
                      <w:rFonts w:hint="default"/>
                      <w:color w:val="auto"/>
                      <w:sz w:val="21"/>
                      <w:szCs w:val="21"/>
                      <w:highlight w:val="none"/>
                      <w:lang w:bidi="ar"/>
                    </w:rPr>
                    <w:t>分；发现一次假冒伪劣商品或过期商品此项不得分，并报采购方备案。所供原材料未经挑选出现腐烂、变质等现象或原材料来源不明的发生</w:t>
                  </w:r>
                  <w:r>
                    <w:rPr>
                      <w:rFonts w:hint="eastAsia" w:ascii="宋体" w:hAnsi="宋体" w:cs="宋体"/>
                      <w:color w:val="auto"/>
                      <w:sz w:val="21"/>
                      <w:szCs w:val="21"/>
                      <w:highlight w:val="none"/>
                      <w:lang w:bidi="ar"/>
                    </w:rPr>
                    <w:t>1</w:t>
                  </w:r>
                  <w:r>
                    <w:rPr>
                      <w:rStyle w:val="10"/>
                      <w:rFonts w:hint="default"/>
                      <w:color w:val="auto"/>
                      <w:sz w:val="21"/>
                      <w:szCs w:val="21"/>
                      <w:highlight w:val="none"/>
                      <w:lang w:bidi="ar"/>
                    </w:rPr>
                    <w:t>次扣</w:t>
                  </w:r>
                  <w:r>
                    <w:rPr>
                      <w:rFonts w:hint="eastAsia" w:ascii="宋体" w:hAnsi="宋体" w:cs="宋体"/>
                      <w:color w:val="auto"/>
                      <w:sz w:val="21"/>
                      <w:szCs w:val="21"/>
                      <w:highlight w:val="none"/>
                      <w:lang w:bidi="ar"/>
                    </w:rPr>
                    <w:t>2</w:t>
                  </w:r>
                  <w:r>
                    <w:rPr>
                      <w:rStyle w:val="10"/>
                      <w:rFonts w:hint="default"/>
                      <w:color w:val="auto"/>
                      <w:sz w:val="21"/>
                      <w:szCs w:val="21"/>
                      <w:highlight w:val="none"/>
                      <w:lang w:bidi="ar"/>
                    </w:rPr>
                    <w:t>分，以此类推，扣完为止。所有供应的货物的保质期绝不低于产品标注保质期的三分之一（自产品标注的生产日期算起），发现一次扣1分，扣完为止。（需注明发现时间及现场实物照片）</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51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5</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足斤足两</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送货无短斤缺两现象8分（份量短缺达到该类食材配送总量5%以上，有一次扣2分，以此类推，扣完为止）。</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8</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114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6</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工作细致</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货物配送原材料清单与实际配送无差错，未按采购方申购单配送的，一次扣1分，扣完为止；未按采购方要求每周提供各类食材的报价清单（报价清单需要涵盖所以配送食材原料），若逾期或不报价，每次扣2分，扣完为止。</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51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7</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单据清晰</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送货单（结算凭证）项目齐全，机器打印清晰，提供正规发票得4分，否则不得分。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4</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51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8</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品牌规范</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按照采购方公布的目录品牌规格采购、供货得6分。擅自更换品牌规格的发现</w:t>
                  </w:r>
                  <w:r>
                    <w:rPr>
                      <w:rFonts w:hint="eastAsia" w:ascii="宋体" w:hAnsi="宋体" w:cs="宋体"/>
                      <w:color w:val="auto"/>
                      <w:sz w:val="21"/>
                      <w:szCs w:val="21"/>
                      <w:highlight w:val="none"/>
                      <w:lang w:bidi="ar"/>
                    </w:rPr>
                    <w:t>1</w:t>
                  </w:r>
                  <w:r>
                    <w:rPr>
                      <w:rStyle w:val="10"/>
                      <w:rFonts w:hint="default"/>
                      <w:color w:val="auto"/>
                      <w:sz w:val="21"/>
                      <w:szCs w:val="21"/>
                      <w:highlight w:val="none"/>
                      <w:lang w:bidi="ar"/>
                    </w:rPr>
                    <w:t>次扣</w:t>
                  </w:r>
                  <w:r>
                    <w:rPr>
                      <w:rFonts w:hint="eastAsia" w:ascii="宋体" w:hAnsi="宋体" w:cs="宋体"/>
                      <w:color w:val="auto"/>
                      <w:sz w:val="21"/>
                      <w:szCs w:val="21"/>
                      <w:highlight w:val="none"/>
                      <w:lang w:bidi="ar"/>
                    </w:rPr>
                    <w:t>1</w:t>
                  </w:r>
                  <w:r>
                    <w:rPr>
                      <w:rStyle w:val="10"/>
                      <w:rFonts w:hint="default"/>
                      <w:color w:val="auto"/>
                      <w:sz w:val="21"/>
                      <w:szCs w:val="21"/>
                      <w:highlight w:val="none"/>
                      <w:lang w:bidi="ar"/>
                    </w:rPr>
                    <w:t>分，扣完为止。</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6</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153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9</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索证索票</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按照相关法律法规规定及监管部门要求，向采购方提供原材料的检测报告或产品合格证的得6分，每少一次扣0.5分，扣完为止；供应商应该按照采购方的要求，建立完整的各类物品追踪溯源体系，</w:t>
                  </w:r>
                  <w:r>
                    <w:rPr>
                      <w:rFonts w:hint="eastAsia" w:ascii="宋体" w:hAnsi="宋体" w:cs="宋体"/>
                      <w:color w:val="auto"/>
                      <w:sz w:val="21"/>
                      <w:szCs w:val="21"/>
                      <w:highlight w:val="none"/>
                    </w:rPr>
                    <w:t>提供实验室检测报告，</w:t>
                  </w:r>
                  <w:r>
                    <w:rPr>
                      <w:rStyle w:val="10"/>
                      <w:rFonts w:hint="default"/>
                      <w:color w:val="auto"/>
                      <w:sz w:val="21"/>
                      <w:szCs w:val="21"/>
                      <w:highlight w:val="none"/>
                      <w:lang w:bidi="ar"/>
                    </w:rPr>
                    <w:t>建立专门台账，按食品进货索证和台账登记本格式如实记录配送给采购方的各类物品，留存相关检验合格证明、资质证明、营业执照等有效资料，并可追踪溯源，采购方有权定期检查，发现问题每次扣1分，扣完为止。</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6</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765"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应急处置</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对于突发事件能够快速处置，明确专门人员应急处置机制，明确应急处置流程，细化相应岗位人员在食品安全事故应急处置中的职责，落实应急处置措施，快速反应，妥善处置，满分4分。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4</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765"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结算精准</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送货单上单价、月底结算价格与采购方核定价一致，满分6分（擅自涨价，每次扣2分，以此类推，扣完为止）。每月</w:t>
                  </w:r>
                  <w:r>
                    <w:rPr>
                      <w:rStyle w:val="10"/>
                      <w:rFonts w:hint="eastAsia"/>
                      <w:color w:val="auto"/>
                      <w:sz w:val="21"/>
                      <w:szCs w:val="21"/>
                      <w:highlight w:val="none"/>
                      <w:lang w:val="en-US" w:eastAsia="zh-CN" w:bidi="ar"/>
                    </w:rPr>
                    <w:t>5</w:t>
                  </w:r>
                  <w:r>
                    <w:rPr>
                      <w:rStyle w:val="10"/>
                      <w:rFonts w:hint="default"/>
                      <w:color w:val="auto"/>
                      <w:sz w:val="21"/>
                      <w:szCs w:val="21"/>
                      <w:highlight w:val="none"/>
                      <w:lang w:bidi="ar"/>
                    </w:rPr>
                    <w:t>日前，将对账单发送至采购方，延误1天扣1分。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6</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765"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安全清洁</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运输工具、贮物筐箱、包装材料等保持清洁卫生，满分4分。（抽查到不符要求的每次扣1分，以此类推，扣完为止）。运输过程中，防止有油污血水等污染运输通道，发现一次扣2分，扣完为止。</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4</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765"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13</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沟通联系</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如目录没有采购方所需商品，事先与采购方联系并谈妥商品的品牌、品级、规格、价格等事项，然后发货4分。配送公司单方定价后再送货不得分。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4</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765"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14</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及时整改</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bidi="ar"/>
                    </w:rPr>
                    <w:t>对采购方的意见、建议虚心接受，运作过程中出现的新情况新问题及时主动沟通、协调有效果，</w:t>
                  </w:r>
                  <w:r>
                    <w:rPr>
                      <w:rFonts w:hint="eastAsia" w:ascii="宋体" w:hAnsi="宋体" w:cs="宋体"/>
                      <w:b w:val="0"/>
                      <w:bCs/>
                      <w:color w:val="auto"/>
                      <w:sz w:val="21"/>
                      <w:szCs w:val="21"/>
                      <w:highlight w:val="none"/>
                      <w:lang w:val="en-US" w:eastAsia="zh-CN" w:bidi="ar"/>
                    </w:rPr>
                    <w:t>及时整改同一月内检查的所有问题</w:t>
                  </w:r>
                  <w:r>
                    <w:rPr>
                      <w:rFonts w:hint="eastAsia" w:ascii="宋体" w:hAnsi="宋体" w:cs="宋体"/>
                      <w:color w:val="auto"/>
                      <w:sz w:val="21"/>
                      <w:szCs w:val="21"/>
                      <w:highlight w:val="none"/>
                      <w:lang w:val="en-US" w:eastAsia="zh-CN" w:bidi="ar"/>
                    </w:rPr>
                    <w:t>，见实效4分，整改效果不明显扣1分，未见整改效果不得分。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4</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51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15</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诚信经营</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不得将部分商品或采购方的部分供应权限转让或分包给他人经营4分（如有违反不得分，并考虑取消配送资格）。</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4</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51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16</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配合采购人在“国家832扶贫平台” 采购产品</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Style w:val="10"/>
                      <w:rFonts w:hint="default"/>
                      <w:color w:val="auto"/>
                      <w:sz w:val="21"/>
                      <w:szCs w:val="21"/>
                      <w:highlight w:val="none"/>
                      <w:lang w:bidi="ar"/>
                    </w:rPr>
                  </w:pPr>
                  <w:r>
                    <w:rPr>
                      <w:rFonts w:hint="eastAsia"/>
                      <w:bCs/>
                      <w:color w:val="auto"/>
                      <w:sz w:val="21"/>
                      <w:szCs w:val="21"/>
                      <w:highlight w:val="none"/>
                    </w:rPr>
                    <w:t>严格按照采购人要求的采购产品类别、数量、预算、采购时间等在“国家832扶贫平台”采购农副产品，结算按照“国家832扶贫平台”上公示的价格进行，当采购人提出需要在“国家832扶贫平台”采购的要求时，不存在无理由拒绝 4分（未能达到以上要求不得分）。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76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1"/>
                      <w:szCs w:val="21"/>
                      <w:highlight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1"/>
                      <w:szCs w:val="21"/>
                      <w:highlight w:val="none"/>
                    </w:rPr>
                  </w:pP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1"/>
                      <w:szCs w:val="21"/>
                      <w:highlight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100</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bl>
          <w:p>
            <w:pPr>
              <w:autoSpaceDE w:val="0"/>
              <w:autoSpaceDN w:val="0"/>
              <w:adjustRightInd w:val="0"/>
              <w:spacing w:line="360" w:lineRule="auto"/>
              <w:rPr>
                <w:rFonts w:hint="eastAsia" w:ascii="宋体" w:hAnsi="宋体" w:eastAsia="宋体" w:cs="宋体"/>
                <w:b w:val="0"/>
                <w:bCs/>
                <w:smallCaps w:val="0"/>
                <w:snapToGrid w:val="0"/>
                <w:color w:val="000000"/>
                <w:spacing w:val="-1"/>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8" w:hRule="atLeast"/>
        </w:trPr>
        <w:tc>
          <w:tcPr>
            <w:tcW w:w="306" w:type="pct"/>
            <w:vAlign w:val="center"/>
          </w:tcPr>
          <w:p>
            <w:pPr>
              <w:pStyle w:val="9"/>
              <w:spacing w:before="60" w:line="379" w:lineRule="auto"/>
              <w:ind w:left="130" w:leftChars="0" w:right="140" w:rightChars="0"/>
              <w:jc w:val="center"/>
              <w:rPr>
                <w:b w:val="0"/>
                <w:bCs/>
                <w:color w:val="auto"/>
                <w:sz w:val="21"/>
                <w:szCs w:val="21"/>
                <w:highlight w:val="none"/>
              </w:rPr>
            </w:pPr>
          </w:p>
        </w:tc>
        <w:tc>
          <w:tcPr>
            <w:tcW w:w="243" w:type="pct"/>
            <w:vAlign w:val="center"/>
          </w:tcPr>
          <w:p>
            <w:pPr>
              <w:pStyle w:val="9"/>
              <w:numPr>
                <w:ilvl w:val="0"/>
                <w:numId w:val="0"/>
              </w:numPr>
              <w:spacing w:before="60" w:line="379" w:lineRule="auto"/>
              <w:ind w:leftChars="0" w:right="140" w:rightChars="0"/>
              <w:jc w:val="both"/>
              <w:rPr>
                <w:rFonts w:hint="default" w:eastAsia="宋体" w:cs="宋体"/>
                <w:b/>
                <w:bCs w:val="0"/>
                <w:smallCaps w:val="0"/>
                <w:snapToGrid w:val="0"/>
                <w:color w:val="000000"/>
                <w:spacing w:val="-1"/>
                <w:sz w:val="21"/>
                <w:szCs w:val="21"/>
                <w:highlight w:val="none"/>
                <w:lang w:val="en-US" w:eastAsia="zh-CN" w:bidi="ar-SA"/>
              </w:rPr>
            </w:pPr>
            <w:r>
              <w:rPr>
                <w:rFonts w:hint="eastAsia" w:eastAsia="宋体" w:cs="宋体"/>
                <w:b/>
                <w:bCs w:val="0"/>
                <w:smallCaps w:val="0"/>
                <w:snapToGrid w:val="0"/>
                <w:color w:val="000000"/>
                <w:spacing w:val="-1"/>
                <w:sz w:val="21"/>
                <w:szCs w:val="21"/>
                <w:highlight w:val="none"/>
                <w:lang w:val="en-US" w:eastAsia="zh-CN" w:bidi="ar-SA"/>
              </w:rPr>
              <w:t>10</w:t>
            </w:r>
          </w:p>
        </w:tc>
        <w:tc>
          <w:tcPr>
            <w:tcW w:w="4449" w:type="pct"/>
            <w:vAlign w:val="top"/>
          </w:tcPr>
          <w:p>
            <w:pPr>
              <w:autoSpaceDE w:val="0"/>
              <w:autoSpaceDN w:val="0"/>
              <w:adjustRightInd w:val="0"/>
              <w:spacing w:line="360" w:lineRule="auto"/>
              <w:rPr>
                <w:rFonts w:hint="eastAsia" w:ascii="宋体" w:hAnsi="宋体" w:cs="宋体"/>
                <w:b/>
                <w:smallCaps/>
                <w:color w:val="auto"/>
                <w:sz w:val="21"/>
                <w:szCs w:val="21"/>
                <w:highlight w:val="none"/>
                <w:lang w:val="zh-CN" w:bidi="zh-CN"/>
              </w:rPr>
            </w:pPr>
            <w:r>
              <w:rPr>
                <w:rFonts w:hint="eastAsia" w:ascii="宋体" w:hAnsi="宋体" w:cs="宋体"/>
                <w:b/>
                <w:smallCaps/>
                <w:color w:val="auto"/>
                <w:sz w:val="21"/>
                <w:szCs w:val="21"/>
                <w:highlight w:val="none"/>
                <w:lang w:val="zh-CN" w:bidi="zh-CN"/>
              </w:rPr>
              <w:t>食材管理系统（软件）具体要求如下：</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1.采购人平台架构概述</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中标人提供的食材订单管理系统软件，须能实现用户通过该系统进行食材的下单、审批、生成订单、查询报表等功能，管理员在后台进行食材的增减、单位内部用户的导入及权限设置功能等。</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2.系统功能要求</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系统分为用户端及管理后台端，中标人应在技术部分阐述：系统软件体系架构图、使用的数据库、使用的服务器产品（如有）、使用的开发语言等。</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2.1用户端功能如下：</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（1）食材查询：包含但不限于食材分类、食材关键字搜索等。</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（2）订单管理：包含但不限于订单创建、预订单、订单提交、订单生成打印、订单取消、订单查询、订单详情、报表打印。</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（3）菜篮：包含但不限于菜篮添加、删除。</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（4）订单审核：包含但不限于实现订单审核，实现多级审核，支持后台灵活自定义审核级别和审核人。功能包括通过、退回、撤回等。</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（5）报表统计：包含但不限于按局、按子单位、按产品和按任意时间段等统计报表。</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（6）收货地址管理：包含但不限于收货地址的增加、修改、删除。</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 xml:space="preserve">（7）退换货管理：食材不达标、送错食材、下错单等管理和处理。 </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（8）消息推送：通过消息推送功能，推送待办、审核结果等各个环节消息。</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9）应急流程处置：实现快速申请、快速审核、限时备货发货一系列紧急流程，且该流程需设置倒计时间提醒，中标人需在投标时承诺的紧急状态配送时间内完成，一次超时完成紧急配送系统将计算1次超时配送。</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2.2管理后台端功能如下：</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（1）食材产品管理：包含但不限于食材产品信息的增加、修改、删除、导入、导出。</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（2）角色管理：包含但不限于系统角色配置。</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（3）权限管理：包含但不限于系统权限配置。</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（4）消息管理：包含但不限于审批消息通知。</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3.系统扩展要求</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为满足系统的易于维护性和可拓展性，根据采购人对系统软件的总体规划要求，要求订单系统支持容量扩展和功能扩展开发系统。</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4.系统安全要求</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（1）保证数据的高可靠性和高可用性，保证数据高安全性和可恢复性。</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（2）要求系统具备高安全防入侵能力、防病毒能力以及数据保密性；</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（3）要求系统运行稳定性、可靠性，有完备且可实现的应急防范机制；</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（4）该软件的加密算法要采用国密算法。</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5.软件质量</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（1）系统应运行稳定，并具有较强的容错能力；</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（2）操作简单；界面表达清晰、美观；</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（3）软件功能应全面、实用，技术先进，专业性强，满足各类不同需求；</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（4）软件应具有较强用户个性化定制能力、移植能力和后续开发能力，能够容易根据用户需求进行功能组合及调整；</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（5）系统数据安全，应该能够记录系统运行时所发生的所有错误，包括本机错误和网络错误。这些错误记录便于查找错误的原因。</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（6）系统的所有功能都应该进行功能权限、部门权限的判断和控制。</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（7）系统能够对必须录入的项目进行控制，使用户能够确保信息录入的完整。</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（8）系统易于安装，易于维护，易于后期功能拓展，且合同期内不收取任何调测、开发费用。</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6.培训</w:t>
            </w:r>
          </w:p>
          <w:p>
            <w:pPr>
              <w:pStyle w:val="2"/>
              <w:ind w:firstLine="460" w:firstLineChars="20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为使系统能正常运行和使用，投标人有责任提供相应的培训。培训内容应与项目内容相一致。</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bidi="zh-CN"/>
              </w:rPr>
              <w:t>7.演示要求</w:t>
            </w:r>
          </w:p>
          <w:p>
            <w:pPr>
              <w:numPr>
                <w:ilvl w:val="0"/>
                <w:numId w:val="4"/>
              </w:numPr>
              <w:autoSpaceDE w:val="0"/>
              <w:autoSpaceDN w:val="0"/>
              <w:adjustRightInd w:val="0"/>
              <w:spacing w:line="360" w:lineRule="auto"/>
              <w:ind w:left="453" w:leftChars="0" w:hanging="453" w:firstLineChars="0"/>
              <w:rPr>
                <w:rFonts w:hint="eastAsia" w:ascii="宋体" w:hAnsi="宋体" w:cs="宋体"/>
                <w:smallCaps/>
                <w:color w:val="auto"/>
                <w:sz w:val="21"/>
                <w:szCs w:val="21"/>
                <w:highlight w:val="none"/>
                <w:lang w:bidi="zh-CN"/>
              </w:rPr>
            </w:pPr>
            <w:r>
              <w:rPr>
                <w:rFonts w:hint="eastAsia" w:ascii="宋体" w:hAnsi="宋体" w:cs="宋体"/>
                <w:smallCaps/>
                <w:color w:val="auto"/>
                <w:sz w:val="21"/>
                <w:szCs w:val="21"/>
                <w:highlight w:val="none"/>
                <w:lang w:bidi="zh-CN"/>
              </w:rPr>
              <w:t>演示人数：1人；</w:t>
            </w:r>
          </w:p>
          <w:p>
            <w:pPr>
              <w:numPr>
                <w:ilvl w:val="0"/>
                <w:numId w:val="4"/>
              </w:numPr>
              <w:autoSpaceDE w:val="0"/>
              <w:autoSpaceDN w:val="0"/>
              <w:adjustRightInd w:val="0"/>
              <w:spacing w:line="360" w:lineRule="auto"/>
              <w:ind w:left="453" w:leftChars="0" w:hanging="453" w:firstLineChars="0"/>
              <w:rPr>
                <w:rFonts w:hint="eastAsia" w:ascii="宋体" w:hAnsi="宋体" w:cs="宋体"/>
                <w:smallCaps/>
                <w:color w:val="auto"/>
                <w:sz w:val="21"/>
                <w:szCs w:val="21"/>
                <w:highlight w:val="none"/>
                <w:lang w:bidi="zh-CN"/>
              </w:rPr>
            </w:pPr>
            <w:r>
              <w:rPr>
                <w:rFonts w:hint="eastAsia" w:ascii="宋体" w:hAnsi="宋体" w:cs="宋体"/>
                <w:smallCaps/>
                <w:color w:val="auto"/>
                <w:sz w:val="21"/>
                <w:szCs w:val="21"/>
                <w:highlight w:val="none"/>
                <w:lang w:bidi="zh-CN"/>
              </w:rPr>
              <w:t>演示时间：不得超过15分钟。</w:t>
            </w:r>
          </w:p>
          <w:p>
            <w:pPr>
              <w:numPr>
                <w:ilvl w:val="0"/>
                <w:numId w:val="4"/>
              </w:numPr>
              <w:autoSpaceDE w:val="0"/>
              <w:autoSpaceDN w:val="0"/>
              <w:adjustRightInd w:val="0"/>
              <w:spacing w:line="360" w:lineRule="auto"/>
              <w:ind w:left="453" w:leftChars="0" w:hanging="453" w:firstLineChars="0"/>
              <w:rPr>
                <w:rFonts w:hint="eastAsia" w:ascii="宋体" w:hAnsi="宋体" w:cs="宋体"/>
                <w:smallCaps/>
                <w:color w:val="auto"/>
                <w:sz w:val="21"/>
                <w:szCs w:val="21"/>
                <w:highlight w:val="none"/>
                <w:lang w:bidi="zh-CN"/>
              </w:rPr>
            </w:pPr>
            <w:r>
              <w:rPr>
                <w:rFonts w:hint="eastAsia" w:ascii="宋体" w:hAnsi="宋体" w:cs="宋体"/>
                <w:smallCaps/>
                <w:color w:val="auto"/>
                <w:sz w:val="21"/>
                <w:szCs w:val="21"/>
                <w:highlight w:val="none"/>
                <w:lang w:bidi="zh-CN"/>
              </w:rPr>
              <w:t>演示设备：投影仪投标现场已具备，投标人不需另行准备，电脑等设备投标人自带，同时须考虑设备与投标现场设备的兼容性。</w:t>
            </w:r>
          </w:p>
          <w:p>
            <w:pPr>
              <w:numPr>
                <w:ilvl w:val="0"/>
                <w:numId w:val="4"/>
              </w:numPr>
              <w:autoSpaceDE w:val="0"/>
              <w:autoSpaceDN w:val="0"/>
              <w:adjustRightInd w:val="0"/>
              <w:spacing w:line="360" w:lineRule="auto"/>
              <w:ind w:left="453" w:leftChars="0" w:hanging="453" w:firstLineChars="0"/>
              <w:rPr>
                <w:rFonts w:hint="eastAsia" w:ascii="宋体" w:hAnsi="宋体" w:cs="宋体"/>
                <w:smallCaps/>
                <w:color w:val="auto"/>
                <w:sz w:val="21"/>
                <w:szCs w:val="21"/>
                <w:highlight w:val="none"/>
                <w:lang w:bidi="zh-CN"/>
              </w:rPr>
            </w:pPr>
            <w:r>
              <w:rPr>
                <w:rFonts w:hint="eastAsia" w:ascii="宋体" w:hAnsi="宋体" w:cs="宋体"/>
                <w:smallCaps/>
                <w:color w:val="auto"/>
                <w:sz w:val="21"/>
                <w:szCs w:val="21"/>
                <w:highlight w:val="none"/>
                <w:lang w:bidi="zh-CN"/>
              </w:rPr>
              <w:t>演示方式：</w:t>
            </w:r>
            <w:r>
              <w:rPr>
                <w:rFonts w:hint="eastAsia" w:ascii="宋体" w:hAnsi="宋体" w:cs="宋体"/>
                <w:smallCaps/>
                <w:color w:val="auto"/>
                <w:sz w:val="21"/>
                <w:szCs w:val="21"/>
                <w:highlight w:val="none"/>
                <w:lang w:val="en-US" w:bidi="zh-CN"/>
              </w:rPr>
              <w:t>演示方式没有限制性，投标人可根据自身情况灵活进行演示，如采用小程序、</w:t>
            </w:r>
            <w:r>
              <w:rPr>
                <w:rFonts w:hint="eastAsia" w:ascii="宋体" w:hAnsi="宋体" w:cs="宋体"/>
                <w:smallCaps/>
                <w:color w:val="auto"/>
                <w:sz w:val="21"/>
                <w:szCs w:val="21"/>
                <w:highlight w:val="none"/>
                <w:lang w:bidi="zh-CN"/>
              </w:rPr>
              <w:t>多媒体、录像、</w:t>
            </w:r>
            <w:r>
              <w:rPr>
                <w:rFonts w:hint="eastAsia" w:ascii="宋体" w:hAnsi="宋体" w:cs="宋体"/>
                <w:smallCaps/>
                <w:color w:val="auto"/>
                <w:sz w:val="21"/>
                <w:szCs w:val="21"/>
                <w:highlight w:val="none"/>
                <w:lang w:val="en-US" w:bidi="zh-CN"/>
              </w:rPr>
              <w:t>PPT</w:t>
            </w:r>
            <w:r>
              <w:rPr>
                <w:rFonts w:hint="eastAsia" w:ascii="宋体" w:hAnsi="宋体" w:cs="宋体"/>
                <w:smallCaps/>
                <w:color w:val="auto"/>
                <w:sz w:val="21"/>
                <w:szCs w:val="21"/>
                <w:highlight w:val="none"/>
                <w:lang w:bidi="zh-CN"/>
              </w:rPr>
              <w:t>、原型演示、方案讲解</w:t>
            </w:r>
            <w:r>
              <w:rPr>
                <w:rFonts w:hint="eastAsia" w:ascii="宋体" w:hAnsi="宋体" w:cs="宋体"/>
                <w:smallCaps/>
                <w:color w:val="auto"/>
                <w:sz w:val="21"/>
                <w:szCs w:val="21"/>
                <w:highlight w:val="none"/>
                <w:lang w:val="en-US" w:bidi="zh-CN"/>
              </w:rPr>
              <w:t>等方式；主要演示系统建设的架构、框架内容，系统建设详情</w:t>
            </w:r>
            <w:r>
              <w:rPr>
                <w:rFonts w:hint="eastAsia" w:ascii="宋体" w:hAnsi="宋体" w:cs="宋体"/>
                <w:smallCaps/>
                <w:color w:val="auto"/>
                <w:sz w:val="21"/>
                <w:szCs w:val="21"/>
                <w:highlight w:val="none"/>
                <w:lang w:bidi="zh-CN"/>
              </w:rPr>
              <w:t>。</w:t>
            </w:r>
          </w:p>
          <w:p>
            <w:pPr>
              <w:numPr>
                <w:ilvl w:val="0"/>
                <w:numId w:val="4"/>
              </w:numPr>
              <w:autoSpaceDE w:val="0"/>
              <w:autoSpaceDN w:val="0"/>
              <w:adjustRightInd w:val="0"/>
              <w:spacing w:line="360" w:lineRule="auto"/>
              <w:ind w:left="453" w:leftChars="0" w:hanging="453" w:firstLineChars="0"/>
              <w:rPr>
                <w:rFonts w:hint="eastAsia" w:ascii="宋体" w:hAnsi="宋体" w:cs="宋体"/>
                <w:smallCaps/>
                <w:color w:val="auto"/>
                <w:sz w:val="21"/>
                <w:szCs w:val="21"/>
                <w:highlight w:val="none"/>
                <w:lang w:bidi="zh-CN"/>
              </w:rPr>
            </w:pPr>
            <w:r>
              <w:rPr>
                <w:rFonts w:hint="eastAsia" w:ascii="宋体" w:hAnsi="宋体" w:cs="宋体"/>
                <w:smallCaps/>
                <w:color w:val="auto"/>
                <w:sz w:val="21"/>
                <w:szCs w:val="21"/>
                <w:highlight w:val="none"/>
                <w:lang w:bidi="zh-CN"/>
              </w:rPr>
              <w:t>演示顺序：按系统签到顺序。</w:t>
            </w:r>
          </w:p>
          <w:p>
            <w:pPr>
              <w:numPr>
                <w:ilvl w:val="0"/>
                <w:numId w:val="4"/>
              </w:numPr>
              <w:autoSpaceDE w:val="0"/>
              <w:autoSpaceDN w:val="0"/>
              <w:adjustRightInd w:val="0"/>
              <w:spacing w:line="360" w:lineRule="auto"/>
              <w:ind w:left="453" w:leftChars="0" w:hanging="453" w:firstLineChars="0"/>
              <w:rPr>
                <w:rFonts w:hint="eastAsia" w:ascii="宋体" w:hAnsi="宋体" w:cs="宋体"/>
                <w:smallCaps/>
                <w:color w:val="auto"/>
                <w:sz w:val="21"/>
                <w:szCs w:val="21"/>
                <w:highlight w:val="none"/>
                <w:lang w:bidi="zh-CN"/>
              </w:rPr>
            </w:pPr>
            <w:r>
              <w:rPr>
                <w:rFonts w:hint="eastAsia" w:ascii="宋体" w:hAnsi="宋体" w:cs="宋体"/>
                <w:smallCaps/>
                <w:color w:val="auto"/>
                <w:sz w:val="21"/>
                <w:szCs w:val="21"/>
                <w:highlight w:val="none"/>
                <w:lang w:bidi="zh-CN"/>
              </w:rPr>
              <w:t>演示（讲解）内容</w:t>
            </w:r>
          </w:p>
          <w:p>
            <w:pPr>
              <w:numPr>
                <w:ilvl w:val="0"/>
                <w:numId w:val="5"/>
              </w:numPr>
              <w:autoSpaceDE w:val="0"/>
              <w:autoSpaceDN w:val="0"/>
              <w:adjustRightInd w:val="0"/>
              <w:spacing w:line="360" w:lineRule="auto"/>
              <w:ind w:left="425" w:firstLine="55"/>
              <w:rPr>
                <w:rFonts w:hint="eastAsia"/>
                <w:color w:val="auto"/>
                <w:sz w:val="21"/>
                <w:szCs w:val="21"/>
                <w:highlight w:val="none"/>
                <w:lang w:val="zh-CN"/>
              </w:rPr>
            </w:pPr>
            <w:r>
              <w:rPr>
                <w:rFonts w:hint="eastAsia" w:ascii="宋体" w:hAnsi="宋体" w:cs="宋体"/>
                <w:smallCaps/>
                <w:color w:val="auto"/>
                <w:sz w:val="21"/>
                <w:szCs w:val="21"/>
                <w:highlight w:val="none"/>
                <w:lang w:bidi="zh-CN"/>
              </w:rPr>
              <w:t>投标人演示的内容不得与本项目的采购需求的内容无关。</w:t>
            </w:r>
          </w:p>
          <w:p>
            <w:pPr>
              <w:numPr>
                <w:ilvl w:val="0"/>
                <w:numId w:val="5"/>
              </w:numPr>
              <w:autoSpaceDE w:val="0"/>
              <w:autoSpaceDN w:val="0"/>
              <w:adjustRightInd w:val="0"/>
              <w:spacing w:line="360" w:lineRule="auto"/>
              <w:ind w:left="425" w:firstLine="55"/>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系统软件体系架构图、使用的数据库、使用的服务器产品（如有）、使用的开发语言。</w:t>
            </w:r>
          </w:p>
          <w:p>
            <w:pPr>
              <w:numPr>
                <w:ilvl w:val="0"/>
                <w:numId w:val="5"/>
              </w:numPr>
              <w:autoSpaceDE w:val="0"/>
              <w:autoSpaceDN w:val="0"/>
              <w:adjustRightInd w:val="0"/>
              <w:spacing w:line="360" w:lineRule="auto"/>
              <w:ind w:left="425" w:leftChars="0" w:firstLine="55" w:firstLineChars="0"/>
              <w:rPr>
                <w:rFonts w:hint="eastAsia" w:ascii="宋体" w:hAnsi="宋体" w:eastAsia="宋体" w:cs="宋体"/>
                <w:b w:val="0"/>
                <w:bCs/>
                <w:smallCaps w:val="0"/>
                <w:snapToGrid w:val="0"/>
                <w:color w:val="000000"/>
                <w:spacing w:val="-1"/>
                <w:sz w:val="21"/>
                <w:szCs w:val="21"/>
                <w:highlight w:val="none"/>
                <w:lang w:val="en-US" w:eastAsia="zh-CN" w:bidi="ar-SA"/>
              </w:rPr>
            </w:pPr>
            <w:r>
              <w:rPr>
                <w:rFonts w:hint="eastAsia" w:ascii="宋体" w:hAnsi="宋体" w:cs="宋体"/>
                <w:smallCaps/>
                <w:color w:val="auto"/>
                <w:sz w:val="21"/>
                <w:szCs w:val="21"/>
                <w:highlight w:val="none"/>
                <w:lang w:val="zh-CN" w:bidi="zh-CN"/>
              </w:rPr>
              <w:t>上述具体要求中关于用户端各项功能、管理后台端各项功能要求。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306" w:type="pct"/>
          </w:tcPr>
          <w:p>
            <w:pPr>
              <w:spacing w:line="360" w:lineRule="auto"/>
              <w:rPr>
                <w:rFonts w:ascii="宋体" w:hAnsi="宋体" w:eastAsia="宋体" w:cs="宋体"/>
                <w:highlight w:val="none"/>
              </w:rPr>
            </w:pPr>
          </w:p>
          <w:p>
            <w:pPr>
              <w:spacing w:line="360" w:lineRule="auto"/>
              <w:rPr>
                <w:rFonts w:ascii="宋体" w:hAnsi="宋体" w:eastAsia="宋体" w:cs="宋体"/>
                <w:highlight w:val="none"/>
              </w:rPr>
            </w:pPr>
            <w:r>
              <w:rPr>
                <w:rFonts w:hint="eastAsia" w:ascii="宋体" w:hAnsi="宋体" w:eastAsia="宋体" w:cs="宋体"/>
                <w:highlight w:val="none"/>
              </w:rPr>
              <w:t>说明</w:t>
            </w:r>
          </w:p>
        </w:tc>
        <w:tc>
          <w:tcPr>
            <w:tcW w:w="4693" w:type="pct"/>
            <w:gridSpan w:val="2"/>
          </w:tcPr>
          <w:p>
            <w:pPr>
              <w:spacing w:line="360" w:lineRule="auto"/>
              <w:rPr>
                <w:rFonts w:ascii="宋体" w:hAnsi="宋体" w:eastAsia="宋体" w:cs="宋体"/>
                <w:highlight w:val="none"/>
              </w:rPr>
            </w:pPr>
            <w:r>
              <w:rPr>
                <w:rFonts w:hint="eastAsia" w:ascii="宋体" w:hAnsi="宋体" w:eastAsia="宋体" w:cs="宋体"/>
                <w:highlight w:val="none"/>
              </w:rPr>
              <w:t>打“★”号条款为实质性条款，若有任何一条负偏离或不满足则导致投标（响应）无效。打“▲”号条款为重要技术参数（如有），若有部分“▲”条款未响应或不满足，将根据评审要求影响其得分，但不作为无效投标（响应）条款。</w:t>
            </w:r>
          </w:p>
        </w:tc>
      </w:tr>
    </w:tbl>
    <w:p>
      <w:pPr>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spacing w:before="90" w:line="480" w:lineRule="auto"/>
        <w:rPr>
          <w:rFonts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w:t>
      </w:r>
      <w:r>
        <w:rPr>
          <w:rFonts w:ascii="宋体" w:cs="宋体"/>
          <w:bCs/>
          <w:sz w:val="24"/>
          <w:szCs w:val="24"/>
          <w:highlight w:val="none"/>
        </w:rPr>
        <w:t>广州市公安局增城区分局202</w:t>
      </w:r>
      <w:r>
        <w:rPr>
          <w:rFonts w:hint="eastAsia" w:ascii="宋体" w:cs="宋体"/>
          <w:bCs/>
          <w:sz w:val="24"/>
          <w:szCs w:val="24"/>
          <w:highlight w:val="none"/>
          <w:lang w:val="en-US" w:eastAsia="zh-CN"/>
        </w:rPr>
        <w:t>3</w:t>
      </w:r>
      <w:r>
        <w:rPr>
          <w:rFonts w:ascii="宋体" w:cs="宋体"/>
          <w:bCs/>
          <w:sz w:val="24"/>
          <w:szCs w:val="24"/>
          <w:highlight w:val="none"/>
        </w:rPr>
        <w:t>年饭堂食材采购</w:t>
      </w:r>
      <w:r>
        <w:rPr>
          <w:rFonts w:hint="eastAsia" w:ascii="宋体" w:eastAsia="宋体" w:cs="宋体"/>
          <w:bCs/>
          <w:sz w:val="24"/>
          <w:szCs w:val="24"/>
          <w:highlight w:val="none"/>
          <w:lang w:val="en-US" w:eastAsia="zh-CN"/>
        </w:rPr>
        <w:t>南部片区</w:t>
      </w:r>
      <w:r>
        <w:rPr>
          <w:rFonts w:hint="eastAsia" w:ascii="宋体" w:hAnsi="宋体" w:eastAsia="宋体" w:cs="宋体"/>
          <w:spacing w:val="-44"/>
          <w:highlight w:val="none"/>
        </w:rPr>
        <w:t>）：</w:t>
      </w:r>
    </w:p>
    <w:p>
      <w:pPr>
        <w:spacing w:line="480" w:lineRule="auto"/>
        <w:rPr>
          <w:rFonts w:ascii="宋体" w:hAnsi="宋体" w:eastAsia="宋体" w:cs="宋体"/>
          <w:highlight w:val="none"/>
        </w:rPr>
      </w:pPr>
      <w:r>
        <w:rPr>
          <w:rFonts w:hint="eastAsia" w:ascii="宋体" w:hAnsi="宋体" w:eastAsia="宋体" w:cs="宋体"/>
          <w:highlight w:val="none"/>
        </w:rPr>
        <w:t>1.主要商务要求</w:t>
      </w:r>
    </w:p>
    <w:tbl>
      <w:tblPr>
        <w:tblStyle w:val="8"/>
        <w:tblW w:w="5669" w:type="pct"/>
        <w:tblInd w:w="-10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31"/>
        <w:gridCol w:w="78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812" w:type="pct"/>
            <w:vAlign w:val="center"/>
          </w:tcPr>
          <w:p>
            <w:pPr>
              <w:spacing w:line="480" w:lineRule="auto"/>
              <w:jc w:val="both"/>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标的的提供时间</w:t>
            </w:r>
          </w:p>
        </w:tc>
        <w:tc>
          <w:tcPr>
            <w:tcW w:w="4187" w:type="pct"/>
          </w:tcPr>
          <w:p>
            <w:pPr>
              <w:rPr>
                <w:rFonts w:hint="eastAsia" w:eastAsia="宋体"/>
                <w:color w:val="auto"/>
                <w:highlight w:val="none"/>
                <w:lang w:val="en-US" w:eastAsia="zh-CN"/>
              </w:rPr>
            </w:pPr>
            <w:r>
              <w:rPr>
                <w:rFonts w:hint="eastAsia" w:eastAsia="宋体"/>
                <w:color w:val="auto"/>
                <w:highlight w:val="none"/>
                <w:lang w:val="en-US" w:eastAsia="zh-CN"/>
              </w:rPr>
              <w:t xml:space="preserve"> </w:t>
            </w:r>
            <w:r>
              <w:rPr>
                <w:rFonts w:hint="eastAsia"/>
                <w:color w:val="auto"/>
                <w:highlight w:val="none"/>
              </w:rPr>
              <w:t>自签订合同之日起12个月或采购费用累计达到预算金额</w:t>
            </w:r>
            <w:r>
              <w:rPr>
                <w:rFonts w:hint="eastAsia" w:ascii="宋体" w:hAnsi="宋体" w:eastAsia="宋体" w:cs="宋体"/>
                <w:spacing w:val="-3"/>
                <w:highlight w:val="none"/>
                <w:lang w:val="en-US" w:eastAsia="zh-CN"/>
              </w:rPr>
              <w:t>人民币6,137,040元</w:t>
            </w:r>
            <w:r>
              <w:rPr>
                <w:rFonts w:hint="eastAsia"/>
                <w:color w:val="auto"/>
                <w:highlight w:val="none"/>
              </w:rPr>
              <w:t>，以先到者为期限，本合同随之终止</w:t>
            </w:r>
            <w:r>
              <w:rPr>
                <w:rFonts w:hint="eastAsia"/>
                <w:b w:val="0"/>
                <w:bCs/>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812" w:type="pct"/>
            <w:vAlign w:val="center"/>
          </w:tcPr>
          <w:p>
            <w:pPr>
              <w:spacing w:line="480" w:lineRule="auto"/>
              <w:jc w:val="center"/>
              <w:rPr>
                <w:rFonts w:ascii="宋体" w:hAnsi="宋体" w:eastAsia="宋体" w:cs="宋体"/>
                <w:color w:val="auto"/>
                <w:highlight w:val="none"/>
              </w:rPr>
            </w:pPr>
            <w:r>
              <w:rPr>
                <w:rFonts w:hint="eastAsia" w:ascii="宋体" w:hAnsi="宋体" w:eastAsia="宋体" w:cs="宋体"/>
                <w:color w:val="auto"/>
                <w:highlight w:val="none"/>
              </w:rPr>
              <w:t>标的提供的地点</w:t>
            </w:r>
          </w:p>
        </w:tc>
        <w:tc>
          <w:tcPr>
            <w:tcW w:w="4187" w:type="pct"/>
          </w:tcPr>
          <w:p>
            <w:pPr>
              <w:rPr>
                <w:color w:val="auto"/>
                <w:highlight w:val="none"/>
              </w:rPr>
            </w:pPr>
            <w:r>
              <w:rPr>
                <w:rFonts w:hint="eastAsia"/>
                <w:color w:val="auto"/>
                <w:highlight w:val="none"/>
              </w:rPr>
              <w:t>广东省广州市，</w:t>
            </w:r>
            <w:r>
              <w:rPr>
                <w:rFonts w:hint="eastAsia"/>
                <w:color w:val="auto"/>
                <w:highlight w:val="none"/>
              </w:rPr>
              <w:t>采购人下属各单位共</w:t>
            </w:r>
            <w:r>
              <w:rPr>
                <w:rFonts w:hint="eastAsia" w:eastAsia="宋体"/>
                <w:color w:val="auto"/>
                <w:highlight w:val="none"/>
                <w:lang w:val="en-US" w:eastAsia="zh-CN"/>
              </w:rPr>
              <w:t>24</w:t>
            </w:r>
            <w:r>
              <w:rPr>
                <w:rFonts w:hint="eastAsia"/>
                <w:color w:val="auto"/>
                <w:highlight w:val="none"/>
              </w:rPr>
              <w:t>个饭堂。</w:t>
            </w:r>
            <w:r>
              <w:rPr>
                <w:rFonts w:hint="eastAsia"/>
                <w:color w:val="auto"/>
                <w:highlight w:val="none"/>
              </w:rPr>
              <w:t>供应地点需根据采购人需求同时或先后配送食材，具体按订单通知执行。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812" w:type="pct"/>
            <w:vAlign w:val="center"/>
          </w:tcPr>
          <w:p>
            <w:pPr>
              <w:spacing w:line="480" w:lineRule="auto"/>
              <w:jc w:val="center"/>
              <w:rPr>
                <w:rFonts w:ascii="宋体" w:hAnsi="宋体" w:eastAsia="宋体" w:cs="宋体"/>
                <w:color w:val="auto"/>
                <w:highlight w:val="none"/>
              </w:rPr>
            </w:pPr>
            <w:r>
              <w:rPr>
                <w:rFonts w:hint="eastAsia" w:ascii="宋体" w:hAnsi="宋体" w:eastAsia="宋体" w:cs="宋体"/>
                <w:color w:val="auto"/>
                <w:highlight w:val="none"/>
              </w:rPr>
              <w:t>投标有效期</w:t>
            </w:r>
          </w:p>
        </w:tc>
        <w:tc>
          <w:tcPr>
            <w:tcW w:w="4187" w:type="pct"/>
          </w:tcPr>
          <w:p>
            <w:pPr>
              <w:spacing w:line="480" w:lineRule="auto"/>
              <w:rPr>
                <w:rFonts w:ascii="宋体" w:hAnsi="宋体" w:eastAsia="宋体" w:cs="宋体"/>
                <w:color w:val="auto"/>
                <w:highlight w:val="none"/>
              </w:rPr>
            </w:pPr>
            <w:r>
              <w:rPr>
                <w:rFonts w:hint="eastAsia" w:ascii="宋体" w:hAnsi="宋体" w:eastAsia="宋体" w:cs="宋体"/>
                <w:color w:val="auto"/>
                <w:highlight w:val="none"/>
              </w:rPr>
              <w:t>从提交投标（响应）文件的截止之日起90日历天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trPr>
        <w:tc>
          <w:tcPr>
            <w:tcW w:w="812" w:type="pct"/>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付款方式</w:t>
            </w:r>
          </w:p>
        </w:tc>
        <w:tc>
          <w:tcPr>
            <w:tcW w:w="4187" w:type="pct"/>
          </w:tcPr>
          <w:p>
            <w:pPr>
              <w:pStyle w:val="9"/>
              <w:adjustRightInd w:val="0"/>
              <w:snapToGrid w:val="0"/>
              <w:ind w:left="100"/>
              <w:rPr>
                <w:rFonts w:hint="eastAsia"/>
                <w:b w:val="0"/>
                <w:bCs/>
                <w:color w:val="auto"/>
                <w:sz w:val="24"/>
                <w:szCs w:val="24"/>
                <w:highlight w:val="none"/>
              </w:rPr>
            </w:pPr>
            <w:r>
              <w:rPr>
                <w:rFonts w:hint="eastAsia"/>
                <w:b w:val="0"/>
                <w:bCs/>
                <w:color w:val="auto"/>
                <w:sz w:val="24"/>
                <w:szCs w:val="24"/>
                <w:highlight w:val="none"/>
              </w:rPr>
              <w:t>1期：</w:t>
            </w:r>
          </w:p>
          <w:p>
            <w:pPr>
              <w:pStyle w:val="9"/>
              <w:adjustRightInd w:val="0"/>
              <w:snapToGrid w:val="0"/>
              <w:ind w:left="100"/>
              <w:rPr>
                <w:rFonts w:hint="eastAsia"/>
                <w:b w:val="0"/>
                <w:color w:val="auto"/>
                <w:sz w:val="24"/>
                <w:highlight w:val="none"/>
                <w:lang w:val="en-US" w:eastAsia="zh-CN"/>
              </w:rPr>
            </w:pPr>
            <w:r>
              <w:rPr>
                <w:rFonts w:hint="eastAsia"/>
                <w:b w:val="0"/>
                <w:color w:val="auto"/>
                <w:sz w:val="24"/>
                <w:highlight w:val="none"/>
                <w:lang w:val="en-US" w:eastAsia="zh-CN"/>
              </w:rPr>
              <w:t>（1）自合同签订且财政拨款到位之日起十天内支付合同总价的30%作为项目预付款。</w:t>
            </w:r>
          </w:p>
          <w:p>
            <w:pPr>
              <w:pStyle w:val="9"/>
              <w:adjustRightInd w:val="0"/>
              <w:snapToGrid w:val="0"/>
              <w:ind w:left="100"/>
              <w:rPr>
                <w:rFonts w:hint="eastAsia"/>
                <w:b w:val="0"/>
                <w:color w:val="auto"/>
                <w:sz w:val="24"/>
                <w:highlight w:val="none"/>
                <w:lang w:val="en-US" w:eastAsia="zh-CN"/>
              </w:rPr>
            </w:pPr>
            <w:r>
              <w:rPr>
                <w:rFonts w:hint="eastAsia"/>
                <w:b w:val="0"/>
                <w:color w:val="auto"/>
                <w:sz w:val="24"/>
                <w:highlight w:val="none"/>
                <w:lang w:val="en-US" w:eastAsia="zh-CN"/>
              </w:rPr>
              <w:t>（2）由采购人每月结算一次，结算时，必须凭采购人出具的验收合格意见书（表单）方可办理相关结算手续。</w:t>
            </w:r>
          </w:p>
          <w:p>
            <w:pPr>
              <w:pStyle w:val="9"/>
              <w:adjustRightInd w:val="0"/>
              <w:snapToGrid w:val="0"/>
              <w:ind w:left="100"/>
              <w:rPr>
                <w:rFonts w:hint="eastAsia"/>
                <w:b w:val="0"/>
                <w:color w:val="auto"/>
                <w:sz w:val="24"/>
                <w:highlight w:val="none"/>
                <w:lang w:val="en-US" w:eastAsia="zh-CN"/>
              </w:rPr>
            </w:pPr>
            <w:r>
              <w:rPr>
                <w:rFonts w:hint="eastAsia"/>
                <w:b w:val="0"/>
                <w:color w:val="auto"/>
                <w:sz w:val="24"/>
                <w:highlight w:val="none"/>
                <w:lang w:val="en-US" w:eastAsia="zh-CN"/>
              </w:rPr>
              <w:t>（3）中标人每天按照采购人验收的实际数量和双方规定价格开票，中标人须开具国家正式发票。结算时需扣除预付款的金额，若第一个月的应付款项不够抵扣预付款时，则累计至下个月</w:t>
            </w:r>
            <w:bookmarkStart w:id="1" w:name="_GoBack"/>
            <w:bookmarkEnd w:id="1"/>
            <w:r>
              <w:rPr>
                <w:rFonts w:hint="eastAsia"/>
                <w:b w:val="0"/>
                <w:color w:val="auto"/>
                <w:sz w:val="24"/>
                <w:highlight w:val="none"/>
                <w:lang w:val="en-US" w:eastAsia="zh-CN"/>
              </w:rPr>
              <w:t>，直至扣款完成。</w:t>
            </w:r>
          </w:p>
          <w:p>
            <w:pPr>
              <w:pStyle w:val="9"/>
              <w:adjustRightInd w:val="0"/>
              <w:snapToGrid w:val="0"/>
              <w:ind w:left="100"/>
              <w:rPr>
                <w:rFonts w:hint="eastAsia"/>
                <w:b w:val="0"/>
                <w:color w:val="auto"/>
                <w:sz w:val="24"/>
                <w:highlight w:val="none"/>
                <w:lang w:val="en-US" w:eastAsia="zh-CN"/>
              </w:rPr>
            </w:pPr>
            <w:r>
              <w:rPr>
                <w:rFonts w:hint="eastAsia"/>
                <w:b w:val="0"/>
                <w:color w:val="auto"/>
                <w:sz w:val="24"/>
                <w:highlight w:val="none"/>
                <w:lang w:val="en-US" w:eastAsia="zh-CN"/>
              </w:rPr>
              <w:t>（4）双方对当月供应金额核对无误后，由采购人依据相关的财政支付程序向中标人付款。鉴于采购人使用的是财政资金，采购人按期办理财政支付手续的，视为采购人已按约支付。因中标人提供的发票不真实、不合法给采购人造成的一切损失及风险，均由中标人承担。</w:t>
            </w:r>
          </w:p>
          <w:p>
            <w:pPr>
              <w:pStyle w:val="9"/>
              <w:adjustRightInd w:val="0"/>
              <w:snapToGrid w:val="0"/>
              <w:ind w:left="100"/>
              <w:rPr>
                <w:rFonts w:hint="eastAsia"/>
                <w:b w:val="0"/>
                <w:color w:val="auto"/>
                <w:sz w:val="24"/>
                <w:highlight w:val="none"/>
                <w:lang w:val="en-US" w:eastAsia="zh-CN"/>
              </w:rPr>
            </w:pPr>
            <w:r>
              <w:rPr>
                <w:rFonts w:hint="eastAsia"/>
                <w:b w:val="0"/>
                <w:color w:val="auto"/>
                <w:sz w:val="24"/>
                <w:highlight w:val="none"/>
                <w:lang w:val="en-US" w:eastAsia="zh-CN"/>
              </w:rPr>
              <w:t>（4）中标人每月5日前必须提供上月配送结算清单送采购人核对，每月10日前采购人依照对账结果一次性支付上月货款。</w:t>
            </w:r>
          </w:p>
          <w:p>
            <w:pPr>
              <w:pStyle w:val="9"/>
              <w:adjustRightInd w:val="0"/>
              <w:snapToGrid w:val="0"/>
              <w:ind w:left="100"/>
              <w:rPr>
                <w:rFonts w:hint="eastAsia"/>
                <w:b w:val="0"/>
                <w:color w:val="auto"/>
                <w:sz w:val="24"/>
                <w:highlight w:val="none"/>
                <w:lang w:val="en-US"/>
              </w:rPr>
            </w:pPr>
            <w:r>
              <w:rPr>
                <w:rFonts w:hint="eastAsia"/>
                <w:b w:val="0"/>
                <w:color w:val="auto"/>
                <w:sz w:val="24"/>
                <w:highlight w:val="none"/>
                <w:lang w:val="en-US" w:eastAsia="zh-CN"/>
              </w:rPr>
              <w:t>（5）付款违约责任：采购人逾期支付合同款项的，除应当支付合同款项外，还应当每日按合同总价的1‰向中标人偿付违约金，但因中标人自身原因导致无法及时支付的除外。</w:t>
            </w:r>
          </w:p>
          <w:tbl>
            <w:tblPr>
              <w:tblStyle w:val="6"/>
              <w:tblW w:w="5000" w:type="pct"/>
              <w:jc w:val="center"/>
              <w:tblLayout w:type="autofit"/>
              <w:tblCellMar>
                <w:top w:w="0" w:type="dxa"/>
                <w:left w:w="108" w:type="dxa"/>
                <w:bottom w:w="0" w:type="dxa"/>
                <w:right w:w="108" w:type="dxa"/>
              </w:tblCellMar>
            </w:tblPr>
            <w:tblGrid>
              <w:gridCol w:w="1380"/>
              <w:gridCol w:w="2045"/>
              <w:gridCol w:w="4463"/>
            </w:tblGrid>
            <w:tr>
              <w:tblPrEx>
                <w:tblCellMar>
                  <w:top w:w="0" w:type="dxa"/>
                  <w:left w:w="108" w:type="dxa"/>
                  <w:bottom w:w="0" w:type="dxa"/>
                  <w:right w:w="108" w:type="dxa"/>
                </w:tblCellMar>
              </w:tblPrEx>
              <w:trPr>
                <w:trHeight w:val="342"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4"/>
                      <w:highlight w:val="none"/>
                    </w:rPr>
                  </w:pPr>
                  <w:r>
                    <w:rPr>
                      <w:rFonts w:hint="eastAsia"/>
                      <w:b w:val="0"/>
                      <w:bCs/>
                      <w:color w:val="auto"/>
                      <w:sz w:val="24"/>
                      <w:szCs w:val="24"/>
                      <w:highlight w:val="none"/>
                    </w:rPr>
                    <w:t>验收合格意见书（表单）</w:t>
                  </w:r>
                </w:p>
              </w:tc>
            </w:tr>
            <w:tr>
              <w:tblPrEx>
                <w:tblCellMar>
                  <w:top w:w="0" w:type="dxa"/>
                  <w:left w:w="108" w:type="dxa"/>
                  <w:bottom w:w="0" w:type="dxa"/>
                  <w:right w:w="108" w:type="dxa"/>
                </w:tblCellMar>
              </w:tblPrEx>
              <w:trPr>
                <w:trHeight w:val="447"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widowControl/>
                    <w:ind w:firstLine="210" w:firstLineChars="100"/>
                    <w:jc w:val="left"/>
                    <w:rPr>
                      <w:rFonts w:hint="eastAsia" w:ascii="宋体" w:hAnsi="宋体" w:cs="宋体"/>
                      <w:color w:val="auto"/>
                      <w:szCs w:val="24"/>
                      <w:highlight w:val="none"/>
                    </w:rPr>
                  </w:pPr>
                  <w:r>
                    <w:rPr>
                      <w:rFonts w:hint="eastAsia" w:ascii="宋体" w:hAnsi="宋体" w:cs="宋体"/>
                      <w:color w:val="auto"/>
                      <w:szCs w:val="24"/>
                      <w:highlight w:val="none"/>
                    </w:rPr>
                    <w:t>供货</w:t>
                  </w:r>
                  <w:r>
                    <w:rPr>
                      <w:rFonts w:hint="eastAsia" w:ascii="宋体" w:hAnsi="宋体" w:cs="宋体"/>
                      <w:color w:val="auto"/>
                      <w:szCs w:val="24"/>
                      <w:highlight w:val="none"/>
                      <w:lang w:val="en-US" w:eastAsia="zh-CN"/>
                    </w:rPr>
                    <w:t>月份</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w:t>
                  </w:r>
                </w:p>
              </w:tc>
            </w:tr>
            <w:tr>
              <w:tblPrEx>
                <w:tblCellMar>
                  <w:top w:w="0" w:type="dxa"/>
                  <w:left w:w="108" w:type="dxa"/>
                  <w:bottom w:w="0" w:type="dxa"/>
                  <w:right w:w="108" w:type="dxa"/>
                </w:tblCellMar>
              </w:tblPrEx>
              <w:trPr>
                <w:trHeight w:val="547" w:hRule="atLeast"/>
                <w:jc w:val="center"/>
              </w:trPr>
              <w:tc>
                <w:tcPr>
                  <w:tcW w:w="875"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szCs w:val="24"/>
                      <w:highlight w:val="none"/>
                    </w:rPr>
                  </w:pPr>
                  <w:r>
                    <w:rPr>
                      <w:rFonts w:hint="eastAsia" w:ascii="宋体" w:hAnsi="宋体" w:cs="宋体"/>
                      <w:color w:val="auto"/>
                      <w:szCs w:val="24"/>
                      <w:highlight w:val="none"/>
                    </w:rPr>
                    <w:t>供货清单</w:t>
                  </w:r>
                </w:p>
              </w:tc>
              <w:tc>
                <w:tcPr>
                  <w:tcW w:w="4124" w:type="pct"/>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szCs w:val="24"/>
                      <w:highlight w:val="none"/>
                    </w:rPr>
                  </w:pPr>
                  <w:r>
                    <w:rPr>
                      <w:rFonts w:hint="eastAsia" w:ascii="宋体" w:hAnsi="宋体" w:cs="宋体"/>
                      <w:color w:val="auto"/>
                      <w:szCs w:val="24"/>
                      <w:highlight w:val="none"/>
                    </w:rPr>
                    <w:t>供货清单（另附）</w:t>
                  </w:r>
                </w:p>
              </w:tc>
            </w:tr>
            <w:tr>
              <w:tblPrEx>
                <w:tblCellMar>
                  <w:top w:w="0" w:type="dxa"/>
                  <w:left w:w="108" w:type="dxa"/>
                  <w:bottom w:w="0" w:type="dxa"/>
                  <w:right w:w="108" w:type="dxa"/>
                </w:tblCellMar>
              </w:tblPrEx>
              <w:trPr>
                <w:trHeight w:val="2163" w:hRule="atLeast"/>
                <w:jc w:val="center"/>
              </w:trPr>
              <w:tc>
                <w:tcPr>
                  <w:tcW w:w="875"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验收</w:t>
                  </w:r>
                  <w:r>
                    <w:rPr>
                      <w:rFonts w:hint="eastAsia" w:ascii="宋体" w:hAnsi="宋体" w:cs="宋体"/>
                      <w:color w:val="auto"/>
                      <w:szCs w:val="24"/>
                      <w:highlight w:val="none"/>
                      <w:lang w:val="en-US" w:eastAsia="zh-CN"/>
                    </w:rPr>
                    <w:t>意见</w:t>
                  </w:r>
                </w:p>
              </w:tc>
              <w:tc>
                <w:tcPr>
                  <w:tcW w:w="129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szCs w:val="24"/>
                      <w:highlight w:val="none"/>
                    </w:rPr>
                  </w:pPr>
                  <w:r>
                    <w:rPr>
                      <w:rFonts w:hint="eastAsia" w:ascii="宋体" w:hAnsi="宋体" w:cs="宋体"/>
                      <w:color w:val="auto"/>
                      <w:szCs w:val="24"/>
                      <w:highlight w:val="none"/>
                    </w:rPr>
                    <w:t>□合格</w:t>
                  </w:r>
                </w:p>
                <w:p>
                  <w:pPr>
                    <w:widowControl/>
                    <w:jc w:val="center"/>
                    <w:rPr>
                      <w:rFonts w:hint="eastAsia" w:ascii="宋体" w:hAnsi="宋体" w:cs="宋体"/>
                      <w:color w:val="auto"/>
                      <w:szCs w:val="24"/>
                      <w:highlight w:val="none"/>
                    </w:rPr>
                  </w:pPr>
                </w:p>
                <w:p>
                  <w:pPr>
                    <w:widowControl/>
                    <w:jc w:val="center"/>
                    <w:rPr>
                      <w:rFonts w:hint="eastAsia" w:ascii="宋体" w:hAnsi="宋体" w:cs="宋体"/>
                      <w:color w:val="auto"/>
                      <w:szCs w:val="24"/>
                      <w:highlight w:val="none"/>
                    </w:rPr>
                  </w:pPr>
                  <w:r>
                    <w:rPr>
                      <w:rFonts w:hint="eastAsia" w:ascii="宋体" w:hAnsi="宋体" w:cs="宋体"/>
                      <w:color w:val="auto"/>
                      <w:szCs w:val="24"/>
                      <w:highlight w:val="none"/>
                    </w:rPr>
                    <w:t>□不合格</w:t>
                  </w:r>
                </w:p>
                <w:p>
                  <w:pPr>
                    <w:widowControl/>
                    <w:jc w:val="center"/>
                    <w:rPr>
                      <w:rFonts w:hint="eastAsia" w:ascii="宋体" w:hAnsi="宋体" w:cs="宋体"/>
                      <w:color w:val="auto"/>
                      <w:szCs w:val="24"/>
                      <w:highlight w:val="none"/>
                    </w:rPr>
                  </w:pPr>
                  <w:r>
                    <w:rPr>
                      <w:rFonts w:hint="eastAsia" w:ascii="宋体" w:hAnsi="宋体" w:cs="宋体"/>
                      <w:bCs/>
                      <w:color w:val="auto"/>
                      <w:szCs w:val="24"/>
                      <w:highlight w:val="none"/>
                    </w:rPr>
                    <w:t>（请“√”选）</w:t>
                  </w:r>
                </w:p>
              </w:tc>
              <w:tc>
                <w:tcPr>
                  <w:tcW w:w="2828"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szCs w:val="24"/>
                      <w:highlight w:val="none"/>
                    </w:rPr>
                  </w:pPr>
                  <w:r>
                    <w:rPr>
                      <w:rFonts w:hint="eastAsia" w:ascii="宋体" w:hAnsi="宋体" w:cs="宋体"/>
                      <w:color w:val="auto"/>
                      <w:szCs w:val="24"/>
                      <w:highlight w:val="none"/>
                    </w:rPr>
                    <w:t>验收不合格情况说明：</w:t>
                  </w:r>
                </w:p>
              </w:tc>
            </w:tr>
            <w:tr>
              <w:tblPrEx>
                <w:tblCellMar>
                  <w:top w:w="0" w:type="dxa"/>
                  <w:left w:w="108" w:type="dxa"/>
                  <w:bottom w:w="0" w:type="dxa"/>
                  <w:right w:w="108" w:type="dxa"/>
                </w:tblCellMar>
              </w:tblPrEx>
              <w:trPr>
                <w:trHeight w:val="684" w:hRule="atLeast"/>
                <w:jc w:val="center"/>
              </w:trPr>
              <w:tc>
                <w:tcPr>
                  <w:tcW w:w="2171" w:type="pct"/>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szCs w:val="24"/>
                      <w:highlight w:val="none"/>
                    </w:rPr>
                  </w:pPr>
                  <w:r>
                    <w:rPr>
                      <w:rFonts w:hint="eastAsia" w:ascii="宋体" w:hAnsi="宋体" w:cs="宋体"/>
                      <w:color w:val="auto"/>
                      <w:szCs w:val="24"/>
                      <w:highlight w:val="none"/>
                    </w:rPr>
                    <w:t>供货情况综合评价</w:t>
                  </w:r>
                </w:p>
              </w:tc>
              <w:tc>
                <w:tcPr>
                  <w:tcW w:w="282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szCs w:val="24"/>
                      <w:highlight w:val="none"/>
                    </w:rPr>
                  </w:pPr>
                  <w:r>
                    <w:rPr>
                      <w:rFonts w:hint="eastAsia" w:ascii="宋体" w:hAnsi="宋体" w:cs="宋体"/>
                      <w:color w:val="auto"/>
                      <w:szCs w:val="24"/>
                      <w:highlight w:val="none"/>
                    </w:rPr>
                    <w:t>□优  □良  □中  □差  （请“√”选，评价与当月结算挂钩）</w:t>
                  </w:r>
                </w:p>
              </w:tc>
            </w:tr>
            <w:tr>
              <w:tblPrEx>
                <w:tblCellMar>
                  <w:top w:w="0" w:type="dxa"/>
                  <w:left w:w="108" w:type="dxa"/>
                  <w:bottom w:w="0" w:type="dxa"/>
                  <w:right w:w="108" w:type="dxa"/>
                </w:tblCellMar>
              </w:tblPrEx>
              <w:trPr>
                <w:trHeight w:val="792"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 xml:space="preserve">采购人验收单位（盖章）：                       </w:t>
                  </w:r>
                  <w:r>
                    <w:rPr>
                      <w:rFonts w:hint="eastAsia" w:ascii="宋体" w:hAnsi="宋体" w:cs="宋体"/>
                      <w:color w:val="auto"/>
                      <w:szCs w:val="24"/>
                      <w:highlight w:val="none"/>
                      <w:lang w:val="en-US" w:eastAsia="zh-CN"/>
                    </w:rPr>
                    <w:t xml:space="preserve"> </w:t>
                  </w:r>
                </w:p>
              </w:tc>
            </w:tr>
            <w:tr>
              <w:tblPrEx>
                <w:tblCellMar>
                  <w:top w:w="0" w:type="dxa"/>
                  <w:left w:w="108" w:type="dxa"/>
                  <w:bottom w:w="0" w:type="dxa"/>
                  <w:right w:w="108" w:type="dxa"/>
                </w:tblCellMar>
              </w:tblPrEx>
              <w:trPr>
                <w:trHeight w:val="732"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 xml:space="preserve">采购人验收人（签名）：                          </w:t>
                  </w:r>
                  <w:r>
                    <w:rPr>
                      <w:rFonts w:hint="eastAsia" w:ascii="宋体" w:hAnsi="宋体" w:cs="宋体"/>
                      <w:color w:val="auto"/>
                      <w:szCs w:val="24"/>
                      <w:highlight w:val="none"/>
                      <w:lang w:val="en-US" w:eastAsia="zh-CN"/>
                    </w:rPr>
                    <w:t xml:space="preserve"> </w:t>
                  </w:r>
                </w:p>
              </w:tc>
            </w:tr>
            <w:tr>
              <w:tblPrEx>
                <w:tblCellMar>
                  <w:top w:w="0" w:type="dxa"/>
                  <w:left w:w="108" w:type="dxa"/>
                  <w:bottom w:w="0" w:type="dxa"/>
                  <w:right w:w="108" w:type="dxa"/>
                </w:tblCellMar>
              </w:tblPrEx>
              <w:trPr>
                <w:trHeight w:val="852"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szCs w:val="24"/>
                      <w:highlight w:val="none"/>
                    </w:rPr>
                  </w:pPr>
                  <w:r>
                    <w:rPr>
                      <w:rFonts w:hint="eastAsia" w:ascii="宋体" w:hAnsi="宋体" w:cs="宋体"/>
                      <w:color w:val="auto"/>
                      <w:szCs w:val="24"/>
                      <w:highlight w:val="none"/>
                    </w:rPr>
                    <w:t xml:space="preserve">验收日期：    年   月   日                      </w:t>
                  </w:r>
                </w:p>
              </w:tc>
            </w:tr>
          </w:tbl>
          <w:p>
            <w:pPr>
              <w:spacing w:line="360" w:lineRule="auto"/>
              <w:rPr>
                <w:rFonts w:ascii="宋体" w:hAnsi="宋体" w:eastAsia="宋体" w:cs="宋体"/>
                <w:color w:val="auto"/>
                <w:highlight w:val="none"/>
              </w:rPr>
            </w:pPr>
          </w:p>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812" w:type="pct"/>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验收要求</w:t>
            </w:r>
          </w:p>
        </w:tc>
        <w:tc>
          <w:tcPr>
            <w:tcW w:w="4187" w:type="pct"/>
          </w:tcPr>
          <w:p>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（一）验收流程</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订货单信息核查。中标人负责将所有食材配送到采购人指定的地点，采购人根据对应批次食材的订货单与中标人进行数量、种类、时间等信息核对，确保该批次食材按订单要求配送到位。</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卸货前的检查。双方验收人员卸货前应对场地和验收设备做好准备，并对食材的外观质量进行初步了解。食材运输必须采用符合卫生标准的外包装和运输工具，保持清洁和定期消毒，车厢内无不良异味。冷藏、冷冻食材必须用专用冷藏、冷冻载具运输，在运输过程中保持安全的冷藏、冷冻温度，冷冻食材没有曾经解冻痕迹或软化现象，包装呈干爽状态。食材应清洁，无损伤、腐烂现象，外包装完整，无寄生虫或已受虫害现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采购人在接收中标人的食材时，发现食材没有合格标志</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包装明显破损的，采购人当场有权拒收该批食材，中标人应立即按照合同的约定重新组织送货，否则视为中标人违约不能交货。</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现场抽查验收。食材卸货后，双方验收人员应认真检查食材的质量，按索票——验证——抽查——过磅——入库的程序完成验收，中标人可提供原件的留原件，原件如果只有一份而无法提供给采购人的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中标人查验原件后可索取复印件留存。具体抽查验收按以下情况执行：</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（1）每批次食材均须抽查验收，对数量在50箱（或公斤）以上（含50箱（或公斤））的抽查率为10%，50箱（或公斤）以下的抽查率为15%。</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验收工作人员应按招标文件食材质量要求对食材质量进行抽查，检查相关文件（见下表），以确保食材品种符合要求。如确定有所差异，应即刻通知送货人员。如发现食材有损坏的情况，应在相关单据上记录所有损坏情况。建议对食材损坏情况进行拍照并存档。对于食材验收的全部信息数据，采购人使用单位验收人员应和中标人人员一起确认，并保留双方签字单据。</w:t>
            </w:r>
          </w:p>
          <w:tbl>
            <w:tblPr>
              <w:tblStyle w:val="6"/>
              <w:tblW w:w="48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4049"/>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2652"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食材资质证照文件</w:t>
                  </w:r>
                </w:p>
              </w:tc>
              <w:tc>
                <w:tcPr>
                  <w:tcW w:w="1487"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验收索证要求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蛋肉类</w:t>
                  </w:r>
                </w:p>
              </w:tc>
              <w:tc>
                <w:tcPr>
                  <w:tcW w:w="2652"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《动物产品检疫合格证明》、《产品合格证》、《食品经营许可证》、其他文件</w:t>
                  </w:r>
                </w:p>
              </w:tc>
              <w:tc>
                <w:tcPr>
                  <w:tcW w:w="1487"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由政府食品、卫生等部门出具（有效期内）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粮油面类</w:t>
                  </w:r>
                </w:p>
              </w:tc>
              <w:tc>
                <w:tcPr>
                  <w:tcW w:w="2652"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《食品经营许可证》、《检验检测报告》、其他文件</w:t>
                  </w:r>
                </w:p>
              </w:tc>
              <w:tc>
                <w:tcPr>
                  <w:tcW w:w="1487"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由政府食品、卫生等部门出具（有效期内）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瓜果蔬菜类</w:t>
                  </w:r>
                </w:p>
              </w:tc>
              <w:tc>
                <w:tcPr>
                  <w:tcW w:w="2652"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《食品经营许可证》、《农药残留检测报告》、其他文件</w:t>
                  </w:r>
                </w:p>
              </w:tc>
              <w:tc>
                <w:tcPr>
                  <w:tcW w:w="1487"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由政府食品、卫生等部门出具（有效期内）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冻品类</w:t>
                  </w:r>
                </w:p>
              </w:tc>
              <w:tc>
                <w:tcPr>
                  <w:tcW w:w="2652"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《食品经营许可证》、其他文件</w:t>
                  </w:r>
                </w:p>
              </w:tc>
              <w:tc>
                <w:tcPr>
                  <w:tcW w:w="1487"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由政府食品、卫生等部门出具（有效期内）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干货和腊味类</w:t>
                  </w:r>
                </w:p>
              </w:tc>
              <w:tc>
                <w:tcPr>
                  <w:tcW w:w="2652"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《食品经营许可证》、其他文件</w:t>
                  </w:r>
                </w:p>
              </w:tc>
              <w:tc>
                <w:tcPr>
                  <w:tcW w:w="1487"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由政府食品、卫生等部门出具（有效期内）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调味品和配料类</w:t>
                  </w:r>
                </w:p>
              </w:tc>
              <w:tc>
                <w:tcPr>
                  <w:tcW w:w="2652"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《食品经营许可证》、《检验检测报告》、其他文件</w:t>
                  </w:r>
                </w:p>
              </w:tc>
              <w:tc>
                <w:tcPr>
                  <w:tcW w:w="1487" w:type="pct"/>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由政府食品、卫生等部门出具（有效期内）</w:t>
                  </w:r>
                </w:p>
              </w:tc>
            </w:tr>
          </w:tbl>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（3）抽查发现食材安全质量问题的处理：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a.对危及人身安全的食材质量问题采取零容忍措施，一经发现，当日所送同批次食材全部退货。</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b.若抽查未发现问题，而在加工食用前发现部分食材质量问题，应立即通知采购人使用单位、食材验收小组及中标人，将问题食材退货处理。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c.采购人按照各饭堂食材需求发起采购订单，中标人根据各饭堂采购订单送货。送货食材出现以下质量问题的：</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①存在腐败变质、霉变、生虫、污秽不洁、感官性状异常的；②含有毒有害物质或被有害物质污染的；③掺假、掺杂、以次充好；④未能按照指定时间送达，影响采购人饭堂正常供应的；⑤数量、重量、品种未按照订单要求执行，偏差率＞</w:t>
            </w:r>
            <w:r>
              <w:rPr>
                <w:rFonts w:hint="eastAsia" w:ascii="宋体" w:hAnsi="宋体" w:eastAsia="宋体" w:cs="宋体"/>
                <w:color w:val="auto"/>
                <w:highlight w:val="none"/>
                <w:lang w:val="en-US"/>
              </w:rPr>
              <w:t>30%</w:t>
            </w:r>
            <w:r>
              <w:rPr>
                <w:rFonts w:hint="eastAsia" w:ascii="宋体" w:hAnsi="宋体" w:eastAsia="宋体" w:cs="宋体"/>
                <w:color w:val="auto"/>
                <w:highlight w:val="none"/>
              </w:rPr>
              <w:t>的。采购人将依照以下规定对中标人进行相应处理：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供货期间如某批次出现质量问题，中标人必须保证验收时发现质量问题1小时内无条件对该批次的全部食材进行换货；</w:t>
            </w:r>
            <w:r>
              <w:rPr>
                <w:rFonts w:hint="eastAsia" w:ascii="宋体" w:hAnsi="宋体" w:eastAsia="宋体" w:cs="宋体"/>
                <w:color w:val="auto"/>
                <w:highlight w:val="none"/>
                <w:lang w:eastAsia="zh-CN"/>
              </w:rPr>
              <w:t>如</w:t>
            </w:r>
            <w:r>
              <w:rPr>
                <w:rFonts w:hint="eastAsia" w:ascii="宋体" w:hAnsi="宋体" w:eastAsia="宋体" w:cs="宋体"/>
                <w:color w:val="auto"/>
                <w:highlight w:val="none"/>
                <w:lang w:val="en-US" w:eastAsia="zh-CN"/>
              </w:rPr>
              <w:t>1小时内无法更换合格食材，采购人有权自行购买相应食材，由此产生的所有费用由中标人承担，并对</w:t>
            </w:r>
            <w:r>
              <w:rPr>
                <w:rFonts w:hint="eastAsia" w:ascii="宋体" w:hAnsi="宋体" w:eastAsia="宋体" w:cs="宋体"/>
                <w:color w:val="auto"/>
                <w:highlight w:val="none"/>
              </w:rPr>
              <w:t>中标人处以</w:t>
            </w:r>
            <w:r>
              <w:rPr>
                <w:rFonts w:hint="eastAsia" w:ascii="宋体" w:hAnsi="宋体" w:eastAsia="宋体" w:cs="宋体"/>
                <w:color w:val="auto"/>
                <w:highlight w:val="none"/>
                <w:lang w:eastAsia="zh-CN"/>
              </w:rPr>
              <w:t>该</w:t>
            </w:r>
            <w:r>
              <w:rPr>
                <w:rFonts w:hint="eastAsia" w:ascii="宋体" w:hAnsi="宋体" w:eastAsia="宋体" w:cs="宋体"/>
                <w:color w:val="auto"/>
                <w:highlight w:val="none"/>
              </w:rPr>
              <w:t>批次供货款20%的罚款</w:t>
            </w:r>
            <w:r>
              <w:rPr>
                <w:rFonts w:hint="eastAsia" w:ascii="宋体" w:hAnsi="宋体" w:eastAsia="宋体" w:cs="宋体"/>
                <w:color w:val="auto"/>
                <w:highlight w:val="none"/>
                <w:lang w:eastAsia="zh-CN"/>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如</w:t>
            </w:r>
            <w:r>
              <w:rPr>
                <w:rFonts w:hint="eastAsia" w:ascii="宋体" w:hAnsi="宋体" w:eastAsia="宋体" w:cs="宋体"/>
                <w:color w:val="auto"/>
                <w:highlight w:val="none"/>
                <w:lang w:val="en-US"/>
              </w:rPr>
              <w:t>出现2次批次质量问题将</w:t>
            </w:r>
            <w:r>
              <w:rPr>
                <w:rFonts w:hint="eastAsia" w:ascii="宋体" w:hAnsi="宋体" w:eastAsia="宋体" w:cs="宋体"/>
                <w:color w:val="auto"/>
                <w:highlight w:val="none"/>
              </w:rPr>
              <w:t>对中标人处以第二批次供货款20%的罚款；</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一个月累计出现2次，将扣除中标人该月供货款20%的金额作为罚款；</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一年内</w:t>
            </w:r>
            <w:r>
              <w:rPr>
                <w:rFonts w:hint="eastAsia" w:ascii="宋体" w:hAnsi="宋体" w:eastAsia="宋体" w:cs="宋体"/>
                <w:color w:val="auto"/>
                <w:highlight w:val="none"/>
                <w:lang w:val="en-US" w:eastAsia="zh-CN"/>
              </w:rPr>
              <w:t>累计</w:t>
            </w:r>
            <w:r>
              <w:rPr>
                <w:rFonts w:hint="eastAsia" w:ascii="宋体" w:hAnsi="宋体" w:eastAsia="宋体" w:cs="宋体"/>
                <w:color w:val="auto"/>
                <w:highlight w:val="none"/>
              </w:rPr>
              <w:t>出现3次质量问题的，</w:t>
            </w:r>
            <w:r>
              <w:rPr>
                <w:rFonts w:hint="eastAsia" w:ascii="宋体" w:hAnsi="宋体" w:eastAsia="宋体" w:cs="宋体"/>
                <w:color w:val="auto"/>
                <w:highlight w:val="none"/>
                <w:lang w:val="en-US"/>
              </w:rPr>
              <w:t>将扣除第3次质量问题对应月份</w:t>
            </w:r>
            <w:r>
              <w:rPr>
                <w:rFonts w:hint="eastAsia" w:ascii="宋体" w:hAnsi="宋体" w:eastAsia="宋体" w:cs="宋体"/>
                <w:color w:val="auto"/>
                <w:highlight w:val="none"/>
              </w:rPr>
              <w:t>供货款20%的金额作为罚款；由采购人在相应的月供货款中直接扣除，且采购人有权单方面解除合同，并没收履约保证金。</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（注：一天之内所有饭堂的供货订单加总为一批次供货。）</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（4）抽查发现资质证照不全及计价问题的处理：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a.没有政府部门出具的动物检疫合格证明的畜禽冻肉类整批食材全部退货处理。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b.抽查发现部分畜禽冻肉类食材没有政府部门出具的动物检疫合格证明，加抽15%，两次抽查数50%以上</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不包含50%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没有动物检疫合格证明的，全部退货；50%以下</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包含50%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没有动物检疫合格证明的，将按无动物检疫合格证明的货物退货。</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c.整批食材有省地市出具的动物检疫合格证明，随箱食材合格证不齐全的，加抽15%，两次抽查数50%以上</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不包含50%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没有食材合格证的，全部退货；50%以下</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包含50%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没有食材合格证明的，将按无食材合格证明的货物退货。</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d、采购人将定期对资质及材料进行抽检，如有发现中标人没有按照约定基准价及中标</w:t>
            </w:r>
            <w:r>
              <w:rPr>
                <w:rFonts w:hint="eastAsia" w:ascii="宋体" w:hAnsi="宋体" w:eastAsia="宋体" w:cs="宋体"/>
                <w:color w:val="auto"/>
                <w:highlight w:val="none"/>
                <w:lang w:val="en-US" w:eastAsia="zh-CN"/>
              </w:rPr>
              <w:t>折扣率</w:t>
            </w:r>
            <w:r>
              <w:rPr>
                <w:rFonts w:hint="eastAsia" w:ascii="宋体" w:hAnsi="宋体" w:eastAsia="宋体" w:cs="宋体"/>
                <w:color w:val="auto"/>
                <w:highlight w:val="none"/>
              </w:rPr>
              <w:t>执行的，一个月内超过2次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含2次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的，采购人有权处以当月供货总额的</w:t>
            </w:r>
            <w:r>
              <w:rPr>
                <w:rFonts w:hint="eastAsia" w:ascii="宋体" w:hAnsi="宋体" w:eastAsia="宋体" w:cs="宋体"/>
                <w:color w:val="auto"/>
                <w:highlight w:val="none"/>
                <w:lang w:val="en-US"/>
              </w:rPr>
              <w:t>2</w:t>
            </w:r>
            <w:r>
              <w:rPr>
                <w:rFonts w:hint="eastAsia" w:ascii="宋体" w:hAnsi="宋体" w:eastAsia="宋体" w:cs="宋体"/>
                <w:color w:val="auto"/>
                <w:highlight w:val="none"/>
              </w:rPr>
              <w:t>0%作为罚款；或一年内3次的，将扣除第</w:t>
            </w:r>
            <w:r>
              <w:rPr>
                <w:rFonts w:hint="eastAsia" w:ascii="宋体" w:hAnsi="宋体" w:eastAsia="宋体" w:cs="宋体"/>
                <w:color w:val="auto"/>
                <w:highlight w:val="none"/>
                <w:lang w:val="en-US"/>
              </w:rPr>
              <w:t>3</w:t>
            </w:r>
            <w:r>
              <w:rPr>
                <w:rFonts w:hint="eastAsia" w:ascii="宋体" w:hAnsi="宋体" w:eastAsia="宋体" w:cs="宋体"/>
                <w:color w:val="auto"/>
                <w:highlight w:val="none"/>
              </w:rPr>
              <w:t>次</w:t>
            </w:r>
            <w:r>
              <w:rPr>
                <w:rFonts w:hint="eastAsia" w:ascii="宋体" w:hAnsi="宋体" w:eastAsia="宋体" w:cs="宋体"/>
                <w:color w:val="auto"/>
                <w:highlight w:val="none"/>
                <w:lang w:val="en-US"/>
              </w:rPr>
              <w:t>问题对应月份</w:t>
            </w:r>
            <w:r>
              <w:rPr>
                <w:rFonts w:hint="eastAsia" w:ascii="宋体" w:hAnsi="宋体" w:eastAsia="宋体" w:cs="宋体"/>
                <w:color w:val="auto"/>
                <w:highlight w:val="none"/>
              </w:rPr>
              <w:t>供货总额的</w:t>
            </w:r>
            <w:r>
              <w:rPr>
                <w:rFonts w:hint="eastAsia" w:ascii="宋体" w:hAnsi="宋体" w:eastAsia="宋体" w:cs="宋体"/>
                <w:color w:val="auto"/>
                <w:highlight w:val="none"/>
                <w:lang w:val="en-US"/>
              </w:rPr>
              <w:t>2</w:t>
            </w:r>
            <w:r>
              <w:rPr>
                <w:rFonts w:hint="eastAsia" w:ascii="宋体" w:hAnsi="宋体" w:eastAsia="宋体" w:cs="宋体"/>
                <w:color w:val="auto"/>
                <w:highlight w:val="none"/>
              </w:rPr>
              <w:t>0%作为罚款，且采购人有权单方解除合同和没收履约保证金。</w:t>
            </w:r>
          </w:p>
          <w:p>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（二）退（补）货流程</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中标人必须负责食材的运输、质量检测工作；采购人有权每月对瓜果蔬菜、蛋肉类等食材抽样送检，对不符合质量要求的食材由采购人使用单位验收人员提出清退，如双方对质量或重量有争议的可送具有检验资质的部门检测（检测合格则由采购人支付检测费用，检测不及格则由中标人支付检测费用，如出现二次检测农药等污染物超标的，采购人有权立即终止合同，由此所产生的费用及造成采购人损失的由中标人负责。）同时留样备检，对数量不足或部分退货的，责成中标人以不影响伙食供应为前提尽快补送。在退货过程中，对有碍公共卫生安全的食材，应按国家有关规定处理或进行协议销毁，不退货给中标人。</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（三）验收记录</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对每次验收的食材均记录货物名称、数量、验收情况等事项，并由双方签名确认。具体按《增城区公安分局饭堂食材供货收货（验收）单》执行，详见下表：</w:t>
            </w:r>
          </w:p>
          <w:p>
            <w:pPr>
              <w:spacing w:line="360" w:lineRule="auto"/>
              <w:ind w:firstLine="1470" w:firstLineChars="700"/>
              <w:rPr>
                <w:rFonts w:hint="eastAsia" w:ascii="宋体" w:hAnsi="宋体" w:eastAsia="宋体" w:cs="宋体"/>
                <w:color w:val="auto"/>
                <w:highlight w:val="none"/>
              </w:rPr>
            </w:pPr>
            <w:r>
              <w:rPr>
                <w:rFonts w:hint="eastAsia" w:ascii="宋体" w:hAnsi="宋体" w:eastAsia="宋体" w:cs="宋体"/>
                <w:color w:val="auto"/>
                <w:highlight w:val="none"/>
              </w:rPr>
              <w:t>增城区公安分局饭堂食材供货收货（验收）单</w:t>
            </w:r>
          </w:p>
          <w:tbl>
            <w:tblPr>
              <w:tblStyle w:val="6"/>
              <w:tblW w:w="4846" w:type="pct"/>
              <w:jc w:val="center"/>
              <w:tblLayout w:type="autofit"/>
              <w:tblCellMar>
                <w:top w:w="0" w:type="dxa"/>
                <w:left w:w="108" w:type="dxa"/>
                <w:bottom w:w="0" w:type="dxa"/>
                <w:right w:w="108" w:type="dxa"/>
              </w:tblCellMar>
            </w:tblPr>
            <w:tblGrid>
              <w:gridCol w:w="775"/>
              <w:gridCol w:w="2823"/>
              <w:gridCol w:w="980"/>
              <w:gridCol w:w="1104"/>
              <w:gridCol w:w="1081"/>
              <w:gridCol w:w="882"/>
            </w:tblGrid>
            <w:tr>
              <w:tblPrEx>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供货地址：       供货日期：    年   月   日   到货时间：   时   分</w:t>
                  </w:r>
                </w:p>
              </w:tc>
            </w:tr>
            <w:tr>
              <w:tblPrEx>
                <w:tblCellMar>
                  <w:top w:w="0" w:type="dxa"/>
                  <w:left w:w="108" w:type="dxa"/>
                  <w:bottom w:w="0" w:type="dxa"/>
                  <w:right w:w="108" w:type="dxa"/>
                </w:tblCellMar>
              </w:tblPrEx>
              <w:trPr>
                <w:jc w:val="center"/>
              </w:trPr>
              <w:tc>
                <w:tcPr>
                  <w:tcW w:w="507" w:type="pct"/>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供货清单</w:t>
                  </w:r>
                </w:p>
              </w:tc>
              <w:tc>
                <w:tcPr>
                  <w:tcW w:w="4493" w:type="pct"/>
                  <w:gridSpan w:val="5"/>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供货清单（另附）</w:t>
                  </w:r>
                </w:p>
              </w:tc>
            </w:tr>
            <w:tr>
              <w:tblPrEx>
                <w:tblCellMar>
                  <w:top w:w="0" w:type="dxa"/>
                  <w:left w:w="108" w:type="dxa"/>
                  <w:bottom w:w="0" w:type="dxa"/>
                  <w:right w:w="108" w:type="dxa"/>
                </w:tblCellMar>
              </w:tblPrEx>
              <w:trPr>
                <w:jc w:val="center"/>
              </w:trPr>
              <w:tc>
                <w:tcPr>
                  <w:tcW w:w="507" w:type="pct"/>
                  <w:vMerge w:val="restart"/>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验收程序一</w:t>
                  </w:r>
                </w:p>
              </w:tc>
              <w:tc>
                <w:tcPr>
                  <w:tcW w:w="1846"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供货清单与订货清单是否相符</w:t>
                  </w:r>
                </w:p>
              </w:tc>
              <w:tc>
                <w:tcPr>
                  <w:tcW w:w="2647" w:type="pct"/>
                  <w:gridSpan w:val="4"/>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      □否（请“√”选，如不相符需写明情况）</w:t>
                  </w:r>
                </w:p>
              </w:tc>
            </w:tr>
            <w:tr>
              <w:trPr>
                <w:jc w:val="center"/>
              </w:trPr>
              <w:tc>
                <w:tcPr>
                  <w:tcW w:w="507" w:type="pct"/>
                  <w:vMerge w:val="continue"/>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c>
                <w:tcPr>
                  <w:tcW w:w="1846"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不相符情况说明</w:t>
                  </w:r>
                </w:p>
              </w:tc>
              <w:tc>
                <w:tcPr>
                  <w:tcW w:w="2647" w:type="pct"/>
                  <w:gridSpan w:val="4"/>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507" w:type="pct"/>
                  <w:vMerge w:val="restart"/>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验收程序二</w:t>
                  </w:r>
                </w:p>
              </w:tc>
              <w:tc>
                <w:tcPr>
                  <w:tcW w:w="1846"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卸货前的检查是否合格</w:t>
                  </w:r>
                </w:p>
              </w:tc>
              <w:tc>
                <w:tcPr>
                  <w:tcW w:w="2647" w:type="pct"/>
                  <w:gridSpan w:val="4"/>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      □否（请“√”选，如不合格需写明情况）</w:t>
                  </w:r>
                </w:p>
              </w:tc>
            </w:tr>
            <w:tr>
              <w:tblPrEx>
                <w:tblCellMar>
                  <w:top w:w="0" w:type="dxa"/>
                  <w:left w:w="108" w:type="dxa"/>
                  <w:bottom w:w="0" w:type="dxa"/>
                  <w:right w:w="108" w:type="dxa"/>
                </w:tblCellMar>
              </w:tblPrEx>
              <w:trPr>
                <w:jc w:val="center"/>
              </w:trPr>
              <w:tc>
                <w:tcPr>
                  <w:tcW w:w="507" w:type="pct"/>
                  <w:vMerge w:val="continue"/>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c>
                <w:tcPr>
                  <w:tcW w:w="1846"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不合格情况说明</w:t>
                  </w:r>
                </w:p>
              </w:tc>
              <w:tc>
                <w:tcPr>
                  <w:tcW w:w="2647" w:type="pct"/>
                  <w:gridSpan w:val="4"/>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507" w:type="pct"/>
                  <w:vMerge w:val="restart"/>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验收程序三</w:t>
                  </w:r>
                </w:p>
              </w:tc>
              <w:tc>
                <w:tcPr>
                  <w:tcW w:w="1846" w:type="pct"/>
                  <w:vMerge w:val="restart"/>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现场抽查（含食材及其对应合格证明等文件检查，如有更多抽查项目请另附表单）</w:t>
                  </w:r>
                </w:p>
              </w:tc>
              <w:tc>
                <w:tcPr>
                  <w:tcW w:w="1363" w:type="pct"/>
                  <w:gridSpan w:val="2"/>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抽查食</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材名称： </w:t>
                  </w:r>
                </w:p>
              </w:tc>
              <w:tc>
                <w:tcPr>
                  <w:tcW w:w="1284" w:type="pct"/>
                  <w:gridSpan w:val="2"/>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抽查食</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材名称：</w:t>
                  </w:r>
                </w:p>
              </w:tc>
            </w:tr>
            <w:tr>
              <w:tblPrEx>
                <w:tblCellMar>
                  <w:top w:w="0" w:type="dxa"/>
                  <w:left w:w="108" w:type="dxa"/>
                  <w:bottom w:w="0" w:type="dxa"/>
                  <w:right w:w="108" w:type="dxa"/>
                </w:tblCellMar>
              </w:tblPrEx>
              <w:trPr>
                <w:jc w:val="center"/>
              </w:trPr>
              <w:tc>
                <w:tcPr>
                  <w:tcW w:w="507" w:type="pct"/>
                  <w:vMerge w:val="continue"/>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c>
                <w:tcPr>
                  <w:tcW w:w="1846" w:type="pct"/>
                  <w:vMerge w:val="continue"/>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c>
                <w:tcPr>
                  <w:tcW w:w="641"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抽查数量</w:t>
                  </w:r>
                </w:p>
              </w:tc>
              <w:tc>
                <w:tcPr>
                  <w:tcW w:w="722"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抽查结果</w:t>
                  </w:r>
                </w:p>
              </w:tc>
              <w:tc>
                <w:tcPr>
                  <w:tcW w:w="707"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抽查数量</w:t>
                  </w:r>
                </w:p>
              </w:tc>
              <w:tc>
                <w:tcPr>
                  <w:tcW w:w="577"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抽查结果</w:t>
                  </w:r>
                </w:p>
              </w:tc>
            </w:tr>
            <w:tr>
              <w:tblPrEx>
                <w:tblCellMar>
                  <w:top w:w="0" w:type="dxa"/>
                  <w:left w:w="108" w:type="dxa"/>
                  <w:bottom w:w="0" w:type="dxa"/>
                  <w:right w:w="108" w:type="dxa"/>
                </w:tblCellMar>
              </w:tblPrEx>
              <w:trPr>
                <w:jc w:val="center"/>
              </w:trPr>
              <w:tc>
                <w:tcPr>
                  <w:tcW w:w="507" w:type="pct"/>
                  <w:vMerge w:val="continue"/>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c>
                <w:tcPr>
                  <w:tcW w:w="1846" w:type="pct"/>
                  <w:vMerge w:val="continue"/>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c>
                <w:tcPr>
                  <w:tcW w:w="641"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c>
                <w:tcPr>
                  <w:tcW w:w="722"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□合格</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□不合格</w:t>
                  </w:r>
                </w:p>
              </w:tc>
              <w:tc>
                <w:tcPr>
                  <w:tcW w:w="707"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c>
                <w:tcPr>
                  <w:tcW w:w="577"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□合格</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□不合格</w:t>
                  </w:r>
                </w:p>
              </w:tc>
            </w:tr>
            <w:tr>
              <w:tblPrEx>
                <w:tblCellMar>
                  <w:top w:w="0" w:type="dxa"/>
                  <w:left w:w="108" w:type="dxa"/>
                  <w:bottom w:w="0" w:type="dxa"/>
                  <w:right w:w="108" w:type="dxa"/>
                </w:tblCellMar>
              </w:tblPrEx>
              <w:trPr>
                <w:jc w:val="center"/>
              </w:trPr>
              <w:tc>
                <w:tcPr>
                  <w:tcW w:w="507" w:type="pct"/>
                  <w:vMerge w:val="continue"/>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c>
                <w:tcPr>
                  <w:tcW w:w="1846"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抽查不合格情况说明</w:t>
                  </w:r>
                </w:p>
              </w:tc>
              <w:tc>
                <w:tcPr>
                  <w:tcW w:w="2647" w:type="pct"/>
                  <w:gridSpan w:val="4"/>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507" w:type="pct"/>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验收结论</w:t>
                  </w:r>
                </w:p>
              </w:tc>
              <w:tc>
                <w:tcPr>
                  <w:tcW w:w="1846" w:type="pct"/>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□合格</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□不合格</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（请“√”选）</w:t>
                  </w:r>
                </w:p>
              </w:tc>
              <w:tc>
                <w:tcPr>
                  <w:tcW w:w="2647" w:type="pct"/>
                  <w:gridSpan w:val="4"/>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验收不</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合格情</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况说明：</w:t>
                  </w:r>
                </w:p>
              </w:tc>
            </w:tr>
            <w:tr>
              <w:tblPrEx>
                <w:tblCellMar>
                  <w:top w:w="0" w:type="dxa"/>
                  <w:left w:w="108" w:type="dxa"/>
                  <w:bottom w:w="0" w:type="dxa"/>
                  <w:right w:w="108" w:type="dxa"/>
                </w:tblCellMar>
              </w:tblPrEx>
              <w:trPr>
                <w:jc w:val="center"/>
              </w:trPr>
              <w:tc>
                <w:tcPr>
                  <w:tcW w:w="2353" w:type="pct"/>
                  <w:gridSpan w:val="2"/>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供货情况综合评价</w:t>
                  </w:r>
                </w:p>
              </w:tc>
              <w:tc>
                <w:tcPr>
                  <w:tcW w:w="2647" w:type="pct"/>
                  <w:gridSpan w:val="4"/>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□优  □良  □中  □差  （请“√”选，评价与当月结算挂钩）</w:t>
                  </w:r>
                </w:p>
              </w:tc>
            </w:tr>
            <w:tr>
              <w:tblPrEx>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采购人验收单位（盖章）：                        供应商（盖章）：</w:t>
                  </w:r>
                </w:p>
              </w:tc>
            </w:tr>
            <w:tr>
              <w:tblPrEx>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采购人验收人（签名）：                          供应商验收人（签名）：</w:t>
                  </w:r>
                </w:p>
              </w:tc>
            </w:tr>
            <w:tr>
              <w:trPr>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验收日期：    年   月   日                      </w:t>
                  </w:r>
                </w:p>
              </w:tc>
            </w:tr>
          </w:tbl>
          <w:p>
            <w:pPr>
              <w:spacing w:line="360" w:lineRule="auto"/>
              <w:rPr>
                <w:rFonts w:ascii="宋体" w:hAnsi="宋体" w:eastAsia="宋体" w:cs="宋体"/>
                <w:color w:val="auto"/>
                <w:highlight w:val="none"/>
              </w:rPr>
            </w:pPr>
          </w:p>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812" w:type="pct"/>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履约保证金</w:t>
            </w:r>
          </w:p>
        </w:tc>
        <w:tc>
          <w:tcPr>
            <w:tcW w:w="4187" w:type="pct"/>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收取比例：</w:t>
            </w:r>
            <w:r>
              <w:rPr>
                <w:rFonts w:hint="eastAsia" w:ascii="宋体" w:hAnsi="宋体" w:eastAsia="宋体" w:cs="宋体"/>
                <w:color w:val="auto"/>
                <w:highlight w:val="none"/>
                <w:lang w:val="en-US"/>
              </w:rPr>
              <w:t>3</w:t>
            </w:r>
            <w:r>
              <w:rPr>
                <w:rFonts w:ascii="宋体" w:hAnsi="宋体" w:eastAsia="宋体" w:cs="宋体"/>
                <w:color w:val="auto"/>
                <w:highlight w:val="none"/>
              </w:rPr>
              <w:t>%</w:t>
            </w:r>
            <w:r>
              <w:rPr>
                <w:rFonts w:hint="eastAsia" w:ascii="宋体" w:hAnsi="宋体" w:eastAsia="宋体" w:cs="宋体"/>
                <w:color w:val="auto"/>
                <w:highlight w:val="none"/>
              </w:rPr>
              <w:t>。</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w:t>
            </w:r>
            <w:r>
              <w:rPr>
                <w:rFonts w:ascii="宋体" w:hAnsi="宋体" w:eastAsia="宋体" w:cs="宋体"/>
                <w:color w:val="auto"/>
                <w:highlight w:val="none"/>
              </w:rPr>
              <w:t>.</w:t>
            </w:r>
            <w:r>
              <w:rPr>
                <w:rFonts w:hint="eastAsia" w:ascii="宋体" w:hAnsi="宋体" w:eastAsia="宋体" w:cs="宋体"/>
                <w:color w:val="auto"/>
                <w:highlight w:val="none"/>
              </w:rPr>
              <w:t>提交时间：合同签订生效之日起15个工作日内向采购人提交；</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w:t>
            </w:r>
            <w:r>
              <w:rPr>
                <w:rFonts w:ascii="宋体" w:hAnsi="宋体" w:eastAsia="宋体" w:cs="宋体"/>
                <w:color w:val="auto"/>
                <w:highlight w:val="none"/>
              </w:rPr>
              <w:t>.</w:t>
            </w:r>
            <w:r>
              <w:rPr>
                <w:rFonts w:hint="eastAsia" w:ascii="宋体" w:hAnsi="宋体" w:eastAsia="宋体" w:cs="宋体"/>
                <w:color w:val="auto"/>
                <w:highlight w:val="none"/>
              </w:rPr>
              <w:t>金额：合同总金额的</w:t>
            </w:r>
            <w:r>
              <w:rPr>
                <w:rFonts w:hint="eastAsia" w:ascii="宋体" w:hAnsi="宋体" w:eastAsia="宋体" w:cs="宋体"/>
                <w:color w:val="auto"/>
                <w:highlight w:val="none"/>
                <w:lang w:val="en-US"/>
              </w:rPr>
              <w:t>3</w:t>
            </w:r>
            <w:r>
              <w:rPr>
                <w:rFonts w:ascii="宋体" w:hAnsi="宋体" w:eastAsia="宋体" w:cs="宋体"/>
                <w:color w:val="auto"/>
                <w:highlight w:val="none"/>
              </w:rPr>
              <w:t>%</w:t>
            </w:r>
            <w:r>
              <w:rPr>
                <w:rFonts w:hint="eastAsia" w:ascii="宋体" w:hAnsi="宋体" w:eastAsia="宋体" w:cs="宋体"/>
                <w:color w:val="auto"/>
                <w:highlight w:val="none"/>
              </w:rPr>
              <w:t>；</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w:t>
            </w:r>
            <w:r>
              <w:rPr>
                <w:rFonts w:ascii="宋体" w:hAnsi="宋体" w:eastAsia="宋体" w:cs="宋体"/>
                <w:color w:val="auto"/>
                <w:highlight w:val="none"/>
              </w:rPr>
              <w:t>.</w:t>
            </w:r>
            <w:r>
              <w:rPr>
                <w:rFonts w:hint="eastAsia" w:ascii="宋体" w:hAnsi="宋体" w:eastAsia="宋体" w:cs="宋体"/>
                <w:color w:val="auto"/>
                <w:highlight w:val="none"/>
              </w:rPr>
              <w:t>方式：银行履约保函（无条件的、不可撤销的、地市级以上银行出具）</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w:t>
            </w:r>
            <w:r>
              <w:rPr>
                <w:rFonts w:ascii="宋体" w:hAnsi="宋体" w:eastAsia="宋体" w:cs="宋体"/>
                <w:color w:val="auto"/>
                <w:highlight w:val="none"/>
              </w:rPr>
              <w:t>.</w:t>
            </w:r>
            <w:r>
              <w:rPr>
                <w:rFonts w:hint="eastAsia" w:ascii="宋体" w:hAnsi="宋体" w:eastAsia="宋体" w:cs="宋体"/>
                <w:color w:val="auto"/>
                <w:highlight w:val="none"/>
              </w:rPr>
              <w:t>退还说明：</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①时间、方式和条件：如合同期内中标人无违约行为，保函在供货合同期满后自动失效。</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②违约责任：采购人逾期退还履约保证金的，除应当退还履约保证金本金外，还应当每日按履约保证金本金的</w:t>
            </w:r>
            <w:r>
              <w:rPr>
                <w:rFonts w:ascii="宋体" w:hAnsi="宋体" w:eastAsia="宋体" w:cs="宋体"/>
                <w:color w:val="auto"/>
                <w:highlight w:val="none"/>
              </w:rPr>
              <w:t>1</w:t>
            </w:r>
            <w:r>
              <w:rPr>
                <w:rFonts w:hint="eastAsia" w:ascii="宋体" w:hAnsi="宋体" w:eastAsia="宋体" w:cs="宋体"/>
                <w:color w:val="auto"/>
                <w:highlight w:val="none"/>
              </w:rPr>
              <w:t>‰向中标人偿付违约金，但因中标人自身原因导致无法及时退还的除外。</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③中标人违反合同及其附件约定的任何义务，采购人有权在履约保证金中直接扣除中标人应向采购人支付的违约金或损失赔偿额，如有不足的，中标人应对超过的部分予以赔偿。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812" w:type="pct"/>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其他</w:t>
            </w:r>
          </w:p>
        </w:tc>
        <w:tc>
          <w:tcPr>
            <w:tcW w:w="4187" w:type="pct"/>
          </w:tcPr>
          <w:p>
            <w:pPr>
              <w:rPr>
                <w:rFonts w:hint="eastAsia"/>
                <w:b/>
                <w:bCs/>
                <w:color w:val="auto"/>
                <w:highlight w:val="none"/>
              </w:rPr>
            </w:pPr>
            <w:r>
              <w:rPr>
                <w:rFonts w:hint="eastAsia"/>
                <w:b/>
                <w:bCs/>
                <w:color w:val="auto"/>
                <w:highlight w:val="none"/>
              </w:rPr>
              <w:t>1.交货要求</w:t>
            </w:r>
          </w:p>
          <w:p>
            <w:pPr>
              <w:ind w:firstLine="420" w:firstLineChars="200"/>
              <w:rPr>
                <w:rFonts w:hint="eastAsia"/>
                <w:color w:val="auto"/>
                <w:highlight w:val="none"/>
              </w:rPr>
            </w:pPr>
            <w:r>
              <w:rPr>
                <w:rFonts w:hint="eastAsia"/>
                <w:color w:val="auto"/>
                <w:highlight w:val="none"/>
              </w:rPr>
              <w:t>（1）交货时间：采购人通过</w:t>
            </w:r>
            <w:r>
              <w:rPr>
                <w:rFonts w:hint="eastAsia" w:eastAsia="宋体"/>
                <w:color w:val="auto"/>
                <w:highlight w:val="none"/>
                <w:lang w:val="en-US" w:eastAsia="zh-CN"/>
              </w:rPr>
              <w:t>食材系统管理（软件）、电子邮件或电话</w:t>
            </w:r>
            <w:r>
              <w:rPr>
                <w:rFonts w:hint="eastAsia"/>
                <w:color w:val="auto"/>
                <w:highlight w:val="none"/>
              </w:rPr>
              <w:t>方式发送订购单，订购单原则至少提前1天发送（其他情况由双方协商），中标人须在1小时内响应，并按采购人约定的时间准时送达。中标人应在送货前提前通知采购人到货时间，</w:t>
            </w:r>
            <w:r>
              <w:rPr>
                <w:rFonts w:hint="eastAsia"/>
                <w:color w:val="auto"/>
                <w:highlight w:val="none"/>
              </w:rPr>
              <w:t>中标人按时运送货物到采购人指定地点</w:t>
            </w:r>
            <w:r>
              <w:rPr>
                <w:rFonts w:hint="eastAsia" w:eastAsia="宋体"/>
                <w:color w:val="auto"/>
                <w:highlight w:val="none"/>
                <w:lang w:eastAsia="zh-CN"/>
              </w:rPr>
              <w:t>（</w:t>
            </w:r>
            <w:r>
              <w:rPr>
                <w:rFonts w:hint="eastAsia" w:eastAsia="宋体"/>
                <w:color w:val="auto"/>
                <w:highlight w:val="none"/>
                <w:lang w:val="en-US" w:eastAsia="zh-CN"/>
              </w:rPr>
              <w:t>配送费用已包含在合同总价中</w:t>
            </w:r>
            <w:r>
              <w:rPr>
                <w:rFonts w:hint="eastAsia" w:eastAsia="宋体"/>
                <w:color w:val="auto"/>
                <w:highlight w:val="none"/>
                <w:lang w:eastAsia="zh-CN"/>
              </w:rPr>
              <w:t>）</w:t>
            </w:r>
            <w:r>
              <w:rPr>
                <w:rFonts w:hint="eastAsia"/>
                <w:color w:val="auto"/>
                <w:highlight w:val="none"/>
              </w:rPr>
              <w:t>，以便做好交收工作。采购人安排相关工作人员过秤验收并记录。</w:t>
            </w:r>
          </w:p>
          <w:p>
            <w:pPr>
              <w:ind w:firstLine="420" w:firstLineChars="200"/>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采购人根据各饭堂实际情况，原则上将提前一周制定下一周饭堂菜单，并在每周周一18时前将下周饭堂菜单提供给中标人，中标人收到菜单后需在2天内提供涉及菜单食材的价格清单，提交采购人确认后做好备货和配送。</w:t>
            </w:r>
          </w:p>
          <w:p>
            <w:pPr>
              <w:ind w:firstLine="420" w:firstLineChars="200"/>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）交货地点：</w:t>
            </w:r>
            <w:r>
              <w:rPr>
                <w:rFonts w:hint="eastAsia" w:eastAsia="宋体"/>
                <w:color w:val="auto"/>
                <w:highlight w:val="none"/>
                <w:lang w:val="en-US" w:eastAsia="zh-CN"/>
              </w:rPr>
              <w:t>24</w:t>
            </w:r>
            <w:r>
              <w:rPr>
                <w:rFonts w:hint="eastAsia"/>
                <w:color w:val="auto"/>
                <w:highlight w:val="none"/>
              </w:rPr>
              <w:t>个饭堂</w:t>
            </w:r>
            <w:r>
              <w:rPr>
                <w:rFonts w:hint="eastAsia"/>
                <w:color w:val="auto"/>
                <w:highlight w:val="none"/>
              </w:rPr>
              <w:t>，详见项目概述中饭堂情况表。</w:t>
            </w:r>
          </w:p>
          <w:p>
            <w:pPr>
              <w:ind w:firstLine="420" w:firstLineChars="200"/>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）中标人在每次配送货物时，须向采购人提供货物验收单，并当场双方签署确认。</w:t>
            </w:r>
          </w:p>
          <w:p>
            <w:pPr>
              <w:rPr>
                <w:b/>
                <w:bCs/>
                <w:color w:val="auto"/>
                <w:highlight w:val="none"/>
              </w:rPr>
            </w:pPr>
            <w:r>
              <w:rPr>
                <w:rFonts w:hint="eastAsia"/>
                <w:b/>
                <w:bCs/>
                <w:color w:val="auto"/>
                <w:highlight w:val="none"/>
              </w:rPr>
              <w:t>2</w:t>
            </w:r>
            <w:r>
              <w:rPr>
                <w:b/>
                <w:bCs/>
                <w:color w:val="auto"/>
                <w:highlight w:val="none"/>
              </w:rPr>
              <w:t>.</w:t>
            </w:r>
            <w:r>
              <w:rPr>
                <w:rFonts w:hint="eastAsia"/>
                <w:b/>
                <w:bCs/>
                <w:color w:val="auto"/>
                <w:highlight w:val="none"/>
              </w:rPr>
              <w:t>食材配送要求</w:t>
            </w:r>
          </w:p>
          <w:p>
            <w:pPr>
              <w:ind w:firstLine="420" w:firstLineChars="200"/>
              <w:rPr>
                <w:color w:val="auto"/>
                <w:highlight w:val="none"/>
              </w:rPr>
            </w:pPr>
            <w:r>
              <w:rPr>
                <w:rFonts w:hint="eastAsia"/>
                <w:color w:val="auto"/>
                <w:highlight w:val="none"/>
              </w:rPr>
              <w:t>（1）所有食材运输必须采用符合卫生标准的外包装和运载工具，运载工具要保持清洁和定期消毒。运输车厢的内仓四周，应使用抗腐蚀、防潮，易清洁消毒的材料。车厢内无异味。</w:t>
            </w:r>
          </w:p>
          <w:p>
            <w:pPr>
              <w:ind w:firstLine="420" w:firstLineChars="200"/>
              <w:rPr>
                <w:color w:val="auto"/>
                <w:highlight w:val="none"/>
              </w:rPr>
            </w:pPr>
            <w:r>
              <w:rPr>
                <w:rFonts w:hint="eastAsia"/>
                <w:color w:val="auto"/>
                <w:highlight w:val="none"/>
              </w:rPr>
              <w:t>（2）冷藏、冷冻食材必须用专用冷藏、冷冻载具运输，应当有必要的保温设备并在整个运输过程中保持安全的冷藏、冷冻温度，使运输食材处于恒定的环境中。</w:t>
            </w:r>
          </w:p>
          <w:p>
            <w:pPr>
              <w:ind w:firstLine="420" w:firstLineChars="200"/>
              <w:rPr>
                <w:color w:val="auto"/>
                <w:highlight w:val="none"/>
              </w:rPr>
            </w:pPr>
            <w:r>
              <w:rPr>
                <w:rFonts w:hint="eastAsia"/>
                <w:color w:val="auto"/>
                <w:highlight w:val="none"/>
              </w:rPr>
              <w:t>（3）送货车辆实行一小时配送圈运作，目的地在一小时内的用保温车配送，一小时以外的用制冷车配送，保证冷冻肉中心温度控制在-2℃～7℃的范围之内，保证运输过程冷链不中断。食材到达目的地时外包装箱干爽,无软化现象。</w:t>
            </w:r>
          </w:p>
          <w:p>
            <w:pPr>
              <w:ind w:firstLine="420" w:firstLineChars="200"/>
              <w:rPr>
                <w:color w:val="auto"/>
                <w:highlight w:val="none"/>
              </w:rPr>
            </w:pPr>
            <w:r>
              <w:rPr>
                <w:rFonts w:hint="eastAsia"/>
                <w:color w:val="auto"/>
                <w:highlight w:val="none"/>
              </w:rPr>
              <w:t>（4）卸货要求：送货车辆应保持清洁；食材堆放科学合理，避免造成食材的交叉污染；如对温度有要求的食材应确定食品的温度，记录送货车辆温度，并存档。在卸货过程中应保证冷藏食材脱离冷链时间不得超过20分钟，冷冻食材脱离冷链时间不得超过30分钟。</w:t>
            </w:r>
          </w:p>
          <w:p>
            <w:pPr>
              <w:ind w:firstLine="420" w:firstLineChars="200"/>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）在配送总重量不变情况下，采购人根据中标人各供货点择优配选食材按期出供货计划，中标人应灵活地配合和按时备齐食材。</w:t>
            </w:r>
          </w:p>
          <w:p>
            <w:pPr>
              <w:rPr>
                <w:rFonts w:hint="eastAsia"/>
                <w:b/>
                <w:bCs/>
                <w:color w:val="auto"/>
                <w:highlight w:val="none"/>
              </w:rPr>
            </w:pPr>
            <w:r>
              <w:rPr>
                <w:rFonts w:hint="eastAsia"/>
                <w:b/>
                <w:bCs/>
                <w:color w:val="auto"/>
                <w:highlight w:val="none"/>
              </w:rPr>
              <w:t>3.总体要求</w:t>
            </w:r>
          </w:p>
          <w:p>
            <w:pPr>
              <w:ind w:firstLine="420" w:firstLineChars="200"/>
              <w:rPr>
                <w:rFonts w:hint="eastAsia"/>
                <w:color w:val="auto"/>
                <w:highlight w:val="none"/>
              </w:rPr>
            </w:pPr>
            <w:r>
              <w:rPr>
                <w:rFonts w:hint="eastAsia"/>
                <w:color w:val="auto"/>
                <w:highlight w:val="none"/>
              </w:rPr>
              <w:t>（1）投标人所供应食材必须符合《中华人民共和国食品安全法》等相关法律法规及行政许可的要求。</w:t>
            </w:r>
          </w:p>
          <w:p>
            <w:pPr>
              <w:ind w:firstLine="420" w:firstLineChars="200"/>
              <w:rPr>
                <w:rFonts w:hint="eastAsia"/>
                <w:color w:val="auto"/>
                <w:highlight w:val="none"/>
              </w:rPr>
            </w:pPr>
            <w:r>
              <w:rPr>
                <w:rFonts w:hint="eastAsia"/>
                <w:color w:val="auto"/>
                <w:highlight w:val="none"/>
              </w:rPr>
              <w:t>（2）本次采购的食材为非进口食材（进口食材指通过中国海关报关验放进入中国境内且产自关境外的食材）。</w:t>
            </w:r>
          </w:p>
          <w:p>
            <w:pPr>
              <w:ind w:firstLine="420" w:firstLineChars="200"/>
              <w:rPr>
                <w:rFonts w:hint="eastAsia"/>
                <w:color w:val="auto"/>
                <w:highlight w:val="none"/>
              </w:rPr>
            </w:pPr>
            <w:r>
              <w:rPr>
                <w:rFonts w:hint="eastAsia"/>
                <w:color w:val="auto"/>
                <w:highlight w:val="none"/>
              </w:rPr>
              <w:t>（3）中标人应指派专业服务团队提供食材供应、配送等服务，团队成员不少于20人（其中指定1名为项目负责人），并提交健康证、工作证、身份证明等资料报采购人备案。如需调整服务团队成员，须书面向采购人提出申请，说明理由，经采购人书面同意后方可调整服务团队成员。</w:t>
            </w:r>
          </w:p>
          <w:p>
            <w:pPr>
              <w:ind w:firstLine="420" w:firstLineChars="200"/>
              <w:rPr>
                <w:rFonts w:hint="eastAsia"/>
                <w:color w:val="auto"/>
                <w:highlight w:val="none"/>
              </w:rPr>
            </w:pPr>
            <w:r>
              <w:rPr>
                <w:rFonts w:hint="eastAsia"/>
                <w:color w:val="auto"/>
                <w:highlight w:val="none"/>
              </w:rPr>
              <w:t>★（4）中标人所供应的食材必须符合国家有关标准，保证无异味、无霉烂变质，如不符合招标文件所描述的质量标准，必须</w:t>
            </w:r>
            <w:r>
              <w:rPr>
                <w:rFonts w:hint="eastAsia"/>
                <w:color w:val="auto"/>
                <w:highlight w:val="none"/>
                <w:lang w:val="en-US" w:eastAsia="zh-CN"/>
              </w:rPr>
              <w:t>接受</w:t>
            </w:r>
            <w:r>
              <w:rPr>
                <w:rFonts w:hint="eastAsia"/>
                <w:color w:val="auto"/>
                <w:highlight w:val="none"/>
              </w:rPr>
              <w:t>无偿退货并承担相应违约责任（须提交承诺函，格式自拟）。</w:t>
            </w:r>
          </w:p>
          <w:p>
            <w:pPr>
              <w:ind w:firstLine="420" w:firstLineChars="200"/>
              <w:rPr>
                <w:rFonts w:hint="eastAsia"/>
                <w:color w:val="auto"/>
                <w:highlight w:val="none"/>
              </w:rPr>
            </w:pPr>
            <w:r>
              <w:rPr>
                <w:rFonts w:hint="eastAsia"/>
                <w:color w:val="auto"/>
                <w:highlight w:val="none"/>
              </w:rPr>
              <w:t>（5）中标人所供应食材必须符合国家行业生产及经营标准，货真价实，供货时必须提供相应批次食材的合格检验证明（包含但不限于农药残留检测报告、动物检疫合格证明等）。</w:t>
            </w:r>
          </w:p>
          <w:p>
            <w:pPr>
              <w:ind w:firstLine="420" w:firstLineChars="200"/>
              <w:rPr>
                <w:rFonts w:hint="eastAsia"/>
                <w:color w:val="auto"/>
                <w:highlight w:val="none"/>
              </w:rPr>
            </w:pPr>
            <w:r>
              <w:rPr>
                <w:rFonts w:hint="eastAsia"/>
                <w:color w:val="auto"/>
                <w:highlight w:val="none"/>
              </w:rPr>
              <w:t>（6）中标人所供应食材各项技术指标必须完全符合国家有关质量检测、环保标准及食材出厂标准。</w:t>
            </w:r>
          </w:p>
          <w:p>
            <w:pPr>
              <w:ind w:firstLine="420" w:firstLineChars="200"/>
              <w:rPr>
                <w:rFonts w:hint="eastAsia"/>
                <w:color w:val="auto"/>
                <w:highlight w:val="none"/>
              </w:rPr>
            </w:pPr>
            <w:r>
              <w:rPr>
                <w:rFonts w:hint="eastAsia"/>
                <w:color w:val="auto"/>
                <w:highlight w:val="none"/>
              </w:rPr>
              <w:t>（</w:t>
            </w:r>
            <w:r>
              <w:rPr>
                <w:rFonts w:hint="eastAsia"/>
                <w:color w:val="auto"/>
                <w:highlight w:val="none"/>
                <w:lang w:val="en-US"/>
              </w:rPr>
              <w:t>7</w:t>
            </w:r>
            <w:r>
              <w:rPr>
                <w:rFonts w:hint="eastAsia"/>
                <w:color w:val="auto"/>
                <w:highlight w:val="none"/>
              </w:rPr>
              <w:t>）中标人不得将本中标项目进行转包或分包，否则采购人有权终止合同，由此产生的一切经济损失由中标人自行承担。</w:t>
            </w:r>
          </w:p>
          <w:p>
            <w:pPr>
              <w:ind w:firstLine="420" w:firstLineChars="200"/>
              <w:rPr>
                <w:rFonts w:hint="eastAsia"/>
                <w:color w:val="auto"/>
                <w:highlight w:val="none"/>
              </w:rPr>
            </w:pPr>
            <w:r>
              <w:rPr>
                <w:rFonts w:hint="eastAsia"/>
                <w:color w:val="auto"/>
                <w:highlight w:val="none"/>
              </w:rPr>
              <w:t>（</w:t>
            </w:r>
            <w:r>
              <w:rPr>
                <w:rFonts w:hint="eastAsia"/>
                <w:color w:val="auto"/>
                <w:highlight w:val="none"/>
                <w:lang w:val="en-US"/>
              </w:rPr>
              <w:t>8</w:t>
            </w:r>
            <w:r>
              <w:rPr>
                <w:rFonts w:hint="eastAsia"/>
                <w:color w:val="auto"/>
                <w:highlight w:val="none"/>
              </w:rPr>
              <w:t>）由于采购人工作的特殊性，中标人应做好相关工作人员的教育培训工作，严格遵守采购人的内部安全、保密等各项规定。</w:t>
            </w:r>
          </w:p>
          <w:p>
            <w:pPr>
              <w:ind w:firstLine="420" w:firstLineChars="200"/>
              <w:rPr>
                <w:rFonts w:hint="eastAsia"/>
                <w:color w:val="auto"/>
                <w:highlight w:val="none"/>
              </w:rPr>
            </w:pPr>
            <w:r>
              <w:rPr>
                <w:rFonts w:hint="eastAsia"/>
                <w:color w:val="auto"/>
                <w:highlight w:val="none"/>
              </w:rPr>
              <w:t>（</w:t>
            </w:r>
            <w:r>
              <w:rPr>
                <w:rFonts w:hint="eastAsia"/>
                <w:color w:val="auto"/>
                <w:highlight w:val="none"/>
                <w:lang w:val="en-US"/>
              </w:rPr>
              <w:t>9</w:t>
            </w:r>
            <w:r>
              <w:rPr>
                <w:rFonts w:hint="eastAsia"/>
                <w:color w:val="auto"/>
                <w:highlight w:val="none"/>
              </w:rPr>
              <w:t>）中标人除不可抗力等重大原因外，不得延迟送货。采购人确因特殊情况需推迟送货或提早送货的，须提前通知中标人。中标人延误交货时间的（采购人要求推迟的除外），采购人有权自行采购，中标人承担由此产生的一切费用及损失（包括直接经济损失和间接经济损失）。</w:t>
            </w:r>
          </w:p>
          <w:p>
            <w:pPr>
              <w:ind w:firstLine="420" w:firstLineChars="200"/>
              <w:rPr>
                <w:rFonts w:hint="eastAsia"/>
                <w:color w:val="auto"/>
                <w:highlight w:val="none"/>
              </w:rPr>
            </w:pPr>
            <w:r>
              <w:rPr>
                <w:rFonts w:hint="eastAsia"/>
                <w:color w:val="auto"/>
                <w:highlight w:val="none"/>
              </w:rPr>
              <w:t>（1</w:t>
            </w:r>
            <w:r>
              <w:rPr>
                <w:rFonts w:hint="eastAsia"/>
                <w:color w:val="auto"/>
                <w:highlight w:val="none"/>
                <w:lang w:val="en-US"/>
              </w:rPr>
              <w:t>0</w:t>
            </w:r>
            <w:r>
              <w:rPr>
                <w:rFonts w:hint="eastAsia"/>
                <w:color w:val="auto"/>
                <w:highlight w:val="none"/>
              </w:rPr>
              <w:t>）中标人不得随意变更供应食材，应严格按招标要求（包括商标、名称、产地、规格和重量等要求）供应，否则，采购人有权拒收。如因市场流通问题确实需要变更的，应书面向采购人申请。</w:t>
            </w:r>
          </w:p>
          <w:p>
            <w:pPr>
              <w:ind w:firstLine="420" w:firstLineChars="200"/>
              <w:rPr>
                <w:color w:val="auto"/>
                <w:highlight w:val="none"/>
                <w:lang w:val="en-US"/>
              </w:rPr>
            </w:pPr>
            <w:r>
              <w:rPr>
                <w:rFonts w:hint="eastAsia"/>
                <w:color w:val="auto"/>
                <w:highlight w:val="none"/>
              </w:rPr>
              <w:t>（1</w:t>
            </w:r>
            <w:r>
              <w:rPr>
                <w:rFonts w:hint="eastAsia"/>
                <w:color w:val="auto"/>
                <w:highlight w:val="none"/>
                <w:lang w:val="en-US"/>
              </w:rPr>
              <w:t>1</w:t>
            </w:r>
            <w:r>
              <w:rPr>
                <w:rFonts w:hint="eastAsia"/>
                <w:color w:val="auto"/>
                <w:highlight w:val="none"/>
              </w:rPr>
              <w:t>）中标人需具备自有运输车辆或租赁车辆，具备足够运输能力。投标人须投入运输配送车辆不少于</w:t>
            </w:r>
            <w:r>
              <w:rPr>
                <w:rFonts w:hint="eastAsia"/>
                <w:color w:val="auto"/>
                <w:highlight w:val="none"/>
                <w:lang w:val="en-US"/>
              </w:rPr>
              <w:t>20辆，并列明各个配送点车辆分配情况及运输人员投入名单。</w:t>
            </w:r>
            <w:r>
              <w:rPr>
                <w:color w:val="auto"/>
                <w:highlight w:val="none"/>
                <w:lang w:val="en-US"/>
              </w:rPr>
              <w:t>配送服务人员、配送车辆需要清晰可追溯，可追溯信息至少包括配送服务人员身份证、食品从业人员健康证明、配送运输车辆的行驶证及司机驾驶证等。投标文件中提供清晰可用的人员或车辆的溯源二维码及其展示的全部信息（提供具体实例展示，采购人有权进行核验，如核验结果不一致，所导致的全部风险由投标人自行承担）。</w:t>
            </w:r>
            <w:r>
              <w:rPr>
                <w:rFonts w:hint="eastAsia" w:eastAsia="宋体"/>
                <w:color w:val="auto"/>
                <w:highlight w:val="none"/>
                <w:lang w:val="en-US" w:eastAsia="zh-CN"/>
              </w:rPr>
              <w:t>如有疫情防控需要，需按疫情防控部门要求提供以下证明</w:t>
            </w:r>
            <w:r>
              <w:rPr>
                <w:color w:val="auto"/>
                <w:highlight w:val="none"/>
                <w:lang w:val="en-US"/>
              </w:rPr>
              <w:t>：</w:t>
            </w:r>
            <w:r>
              <w:rPr>
                <w:rFonts w:hint="eastAsia" w:eastAsia="宋体"/>
                <w:color w:val="auto"/>
                <w:highlight w:val="none"/>
                <w:lang w:val="en-US" w:eastAsia="zh-CN"/>
              </w:rPr>
              <w:t>1）</w:t>
            </w:r>
            <w:r>
              <w:rPr>
                <w:color w:val="auto"/>
                <w:highlight w:val="none"/>
                <w:lang w:val="en-US"/>
              </w:rPr>
              <w:t>能溯源到配送服务人员配送前最近一个月内任意一周的体温测量记录。</w:t>
            </w:r>
            <w:r>
              <w:rPr>
                <w:rFonts w:hint="eastAsia" w:eastAsia="宋体"/>
                <w:color w:val="auto"/>
                <w:highlight w:val="none"/>
                <w:lang w:val="en-US" w:eastAsia="zh-CN"/>
              </w:rPr>
              <w:t>2）</w:t>
            </w:r>
            <w:r>
              <w:rPr>
                <w:color w:val="auto"/>
                <w:highlight w:val="none"/>
                <w:lang w:val="en-US"/>
              </w:rPr>
              <w:t>视疫情情况，采购人有权要求中标人随时提供配送人员的核酸检测记录。</w:t>
            </w:r>
            <w:r>
              <w:rPr>
                <w:rFonts w:hint="eastAsia" w:eastAsia="宋体"/>
                <w:color w:val="auto"/>
                <w:highlight w:val="none"/>
                <w:lang w:val="en-US" w:eastAsia="zh-CN"/>
              </w:rPr>
              <w:t>3）</w:t>
            </w:r>
            <w:r>
              <w:rPr>
                <w:rFonts w:hint="eastAsia"/>
                <w:color w:val="auto"/>
                <w:highlight w:val="none"/>
                <w:lang w:val="en-US" w:eastAsia="zh-CN"/>
              </w:rPr>
              <w:t>中标人须按照相关疫情防控部门要求，严格遵守相关疫情防控规定，提供人员核酸检测证明。</w:t>
            </w:r>
            <w:r>
              <w:rPr>
                <w:color w:val="auto"/>
                <w:highlight w:val="none"/>
                <w:lang w:val="en-US"/>
              </w:rPr>
              <w:t>（须在投标文件中提供承诺函，承诺内容至少包含：溯源系统可以投入本项目使用，并能保障疫情防控的需要，所需费用由中标人</w:t>
            </w:r>
            <w:r>
              <w:rPr>
                <w:rFonts w:hint="eastAsia"/>
                <w:color w:val="auto"/>
                <w:highlight w:val="none"/>
                <w:lang w:val="en-US"/>
              </w:rPr>
              <w:t>自行</w:t>
            </w:r>
            <w:r>
              <w:rPr>
                <w:color w:val="auto"/>
                <w:highlight w:val="none"/>
                <w:lang w:val="en-US"/>
              </w:rPr>
              <w:t>承担。）</w:t>
            </w:r>
          </w:p>
          <w:p>
            <w:pPr>
              <w:ind w:firstLine="420" w:firstLineChars="200"/>
              <w:rPr>
                <w:rFonts w:hint="eastAsia"/>
                <w:color w:val="auto"/>
                <w:highlight w:val="none"/>
              </w:rPr>
            </w:pPr>
            <w:r>
              <w:rPr>
                <w:rFonts w:hint="eastAsia"/>
                <w:color w:val="auto"/>
                <w:highlight w:val="none"/>
              </w:rPr>
              <w:t>（1</w:t>
            </w:r>
            <w:r>
              <w:rPr>
                <w:rFonts w:hint="eastAsia"/>
                <w:color w:val="auto"/>
                <w:highlight w:val="none"/>
                <w:lang w:val="en-US"/>
              </w:rPr>
              <w:t>2</w:t>
            </w:r>
            <w:r>
              <w:rPr>
                <w:rFonts w:hint="eastAsia"/>
                <w:color w:val="auto"/>
                <w:highlight w:val="none"/>
              </w:rPr>
              <w:t>）投标人须承诺在中标后为本项目购买不少于人民币400万元/年，每次赔付不得少于人民币200万元，每人最高赔付不得少于人民币20万元的食品安全责任保险。保证本项目合同期在该保险期限内，并将该保险合同复印件作为签署项目合同的附件装订，否则采购人有权上报监管部门处理，由此引发的所有损失由中标人负责。</w:t>
            </w:r>
          </w:p>
          <w:p>
            <w:pPr>
              <w:ind w:firstLine="420" w:firstLineChars="200"/>
              <w:rPr>
                <w:rFonts w:hint="eastAsia"/>
                <w:color w:val="auto"/>
                <w:highlight w:val="none"/>
              </w:rPr>
            </w:pPr>
            <w:r>
              <w:rPr>
                <w:rFonts w:hint="eastAsia"/>
                <w:color w:val="auto"/>
                <w:highlight w:val="none"/>
              </w:rPr>
              <w:t>（1</w:t>
            </w:r>
            <w:r>
              <w:rPr>
                <w:rFonts w:hint="eastAsia"/>
                <w:color w:val="auto"/>
                <w:highlight w:val="none"/>
                <w:lang w:val="en-US"/>
              </w:rPr>
              <w:t>3</w:t>
            </w:r>
            <w:r>
              <w:rPr>
                <w:rFonts w:hint="eastAsia"/>
                <w:color w:val="auto"/>
                <w:highlight w:val="none"/>
              </w:rPr>
              <w:t>）投标报价包含食材价格、运输、装卸、售后服务、保险、搬运费、税金等一切费用。</w:t>
            </w:r>
          </w:p>
          <w:p>
            <w:pPr>
              <w:ind w:firstLine="420" w:firstLineChars="200"/>
              <w:rPr>
                <w:rFonts w:hint="eastAsia"/>
                <w:color w:val="auto"/>
                <w:highlight w:val="none"/>
              </w:rPr>
            </w:pPr>
            <w:r>
              <w:rPr>
                <w:rFonts w:hint="eastAsia"/>
                <w:color w:val="auto"/>
                <w:highlight w:val="none"/>
              </w:rPr>
              <w:t>（1</w:t>
            </w:r>
            <w:r>
              <w:rPr>
                <w:rFonts w:hint="eastAsia"/>
                <w:color w:val="auto"/>
                <w:highlight w:val="none"/>
                <w:lang w:val="en-US"/>
              </w:rPr>
              <w:t>4</w:t>
            </w:r>
            <w:r>
              <w:rPr>
                <w:rFonts w:hint="eastAsia"/>
                <w:color w:val="auto"/>
                <w:highlight w:val="none"/>
              </w:rPr>
              <w:t>）投标人必须拥有稳定可靠的食材供应基地（自有或租赁基地，提供相关证明文件）。鸡、鸭、鹅等禽类，水产类，投标人必须拥有自有或合作的养殖基地，保障货源来源于大型养殖场、生产供应基地，提供相关证明文件。</w:t>
            </w:r>
          </w:p>
          <w:p>
            <w:pPr>
              <w:ind w:firstLine="420" w:firstLineChars="200"/>
              <w:rPr>
                <w:rFonts w:hint="eastAsia"/>
                <w:color w:val="auto"/>
                <w:highlight w:val="none"/>
              </w:rPr>
            </w:pPr>
            <w:r>
              <w:rPr>
                <w:rFonts w:hint="eastAsia"/>
                <w:color w:val="auto"/>
                <w:highlight w:val="none"/>
              </w:rPr>
              <w:t>（1</w:t>
            </w:r>
            <w:r>
              <w:rPr>
                <w:rFonts w:hint="eastAsia"/>
                <w:color w:val="auto"/>
                <w:highlight w:val="none"/>
                <w:lang w:val="en-US"/>
              </w:rPr>
              <w:t>5</w:t>
            </w:r>
            <w:r>
              <w:rPr>
                <w:rFonts w:hint="eastAsia"/>
                <w:color w:val="auto"/>
                <w:highlight w:val="none"/>
              </w:rPr>
              <w:t>）投标人应有配送车间、保鲜仓库、冷藏仓库、干货仓库、农药残留检测室及相应仪器、冷藏配送车辆等设施设备。</w:t>
            </w:r>
          </w:p>
          <w:p>
            <w:pPr>
              <w:ind w:firstLine="420" w:firstLineChars="200"/>
              <w:rPr>
                <w:rFonts w:hint="eastAsia"/>
                <w:color w:val="auto"/>
                <w:highlight w:val="none"/>
              </w:rPr>
            </w:pPr>
            <w:r>
              <w:rPr>
                <w:rFonts w:hint="eastAsia"/>
                <w:color w:val="auto"/>
                <w:highlight w:val="none"/>
              </w:rPr>
              <w:t>（</w:t>
            </w:r>
            <w:r>
              <w:rPr>
                <w:rFonts w:hint="eastAsia"/>
                <w:color w:val="auto"/>
                <w:highlight w:val="none"/>
                <w:lang w:val="en-US"/>
              </w:rPr>
              <w:t>16</w:t>
            </w:r>
            <w:r>
              <w:rPr>
                <w:rFonts w:hint="eastAsia"/>
                <w:color w:val="auto"/>
                <w:highlight w:val="none"/>
              </w:rPr>
              <w:t>）中标人</w:t>
            </w:r>
            <w:r>
              <w:rPr>
                <w:rFonts w:hint="eastAsia" w:eastAsia="宋体"/>
                <w:color w:val="auto"/>
                <w:highlight w:val="none"/>
                <w:lang w:val="en-US" w:eastAsia="zh-CN"/>
              </w:rPr>
              <w:t>近三年</w:t>
            </w:r>
            <w:r>
              <w:rPr>
                <w:rFonts w:hint="eastAsia"/>
                <w:color w:val="auto"/>
                <w:highlight w:val="none"/>
              </w:rPr>
              <w:t>被投诉3次或造成安全（监管和食品卫生）事故的取消供应资格，并承担因此造成的损失责任。</w:t>
            </w:r>
          </w:p>
          <w:p>
            <w:pPr>
              <w:ind w:firstLine="420" w:firstLineChars="200"/>
              <w:rPr>
                <w:rFonts w:hint="eastAsia"/>
                <w:color w:val="auto"/>
                <w:highlight w:val="none"/>
              </w:rPr>
            </w:pPr>
            <w:r>
              <w:rPr>
                <w:rFonts w:hint="eastAsia"/>
                <w:color w:val="auto"/>
                <w:highlight w:val="none"/>
              </w:rPr>
              <w:t>（</w:t>
            </w:r>
            <w:r>
              <w:rPr>
                <w:rFonts w:hint="eastAsia"/>
                <w:color w:val="auto"/>
                <w:highlight w:val="none"/>
                <w:lang w:val="en-US"/>
              </w:rPr>
              <w:t>17</w:t>
            </w:r>
            <w:r>
              <w:rPr>
                <w:rFonts w:hint="eastAsia"/>
                <w:color w:val="auto"/>
                <w:highlight w:val="none"/>
              </w:rPr>
              <w:t>）食材溯源要求。中标人对食材供应链进行明确，所有食材的来源必须清晰，包装食材要有食品生产许可证。生产食材的源头与中标人要有固定的合法的供应关系，严禁收购非标准食材供应。投标文件要求对食材的来源和质量标准要有详尽的描述，并提出验收的行业标准和感官标准。如该品牌食材无质量标准，则需由投标人按国家和行业的要求自行描述。投标人须单独列明各类食材源头的地点（具体到门牌号）、联系人、联系电话，以备采购人追溯。食材来源可追溯信息至少包括食材来源供应商的营业执照、食材生产日期、保质期、仓储环境温湿度记录及消杀记录、食材质量检测报告等。投标文件中，提供清晰可用的标的物的溯源二维码及其展示的全部信息（提供具体实例展示，采购人有权进行核验，如核验结果不一致，所导致的全部风险由投标人自行承担）。</w:t>
            </w:r>
          </w:p>
          <w:p>
            <w:pPr>
              <w:ind w:firstLine="420" w:firstLineChars="200"/>
              <w:rPr>
                <w:color w:val="auto"/>
                <w:highlight w:val="none"/>
              </w:rPr>
            </w:pPr>
            <w:r>
              <w:rPr>
                <w:rFonts w:hint="eastAsia"/>
                <w:color w:val="auto"/>
                <w:highlight w:val="none"/>
              </w:rPr>
              <w:t>（</w:t>
            </w:r>
            <w:r>
              <w:rPr>
                <w:rFonts w:hint="eastAsia"/>
                <w:color w:val="auto"/>
                <w:highlight w:val="none"/>
                <w:lang w:val="en-US"/>
              </w:rPr>
              <w:t>18</w:t>
            </w:r>
            <w:r>
              <w:rPr>
                <w:rFonts w:hint="eastAsia"/>
                <w:color w:val="auto"/>
                <w:highlight w:val="none"/>
              </w:rPr>
              <w:t>）如果中标人放弃中标资格，或因不可抗力无法签订合同，经政府采购监管部门批准后，采购人可按推荐的中标候选人排名顺序确定第二名中标候选人为中标人，亦可决定组织重新招标。</w:t>
            </w:r>
          </w:p>
          <w:p>
            <w:pPr>
              <w:ind w:firstLine="420" w:firstLineChars="200"/>
              <w:rPr>
                <w:color w:val="auto"/>
                <w:highlight w:val="none"/>
              </w:rPr>
            </w:pPr>
            <w:r>
              <w:rPr>
                <w:rFonts w:hint="eastAsia"/>
                <w:color w:val="auto"/>
                <w:highlight w:val="none"/>
              </w:rPr>
              <w:t>（</w:t>
            </w:r>
            <w:r>
              <w:rPr>
                <w:rFonts w:hint="eastAsia"/>
                <w:color w:val="auto"/>
                <w:highlight w:val="none"/>
                <w:lang w:val="en-US"/>
              </w:rPr>
              <w:t>19</w:t>
            </w:r>
            <w:r>
              <w:rPr>
                <w:rFonts w:hint="eastAsia"/>
                <w:color w:val="auto"/>
                <w:highlight w:val="none"/>
              </w:rPr>
              <w:t>）如果中标人在合同签订前经采购人查证、或以其他方式取证证实其投标资料造假而被取消中标资格的，报政府采购监管部门并经批准后，采购人可按推荐的中标候选人排名顺序确定第二名中标候选人为中标人，亦可决定组织重新招标。</w:t>
            </w:r>
          </w:p>
        </w:tc>
      </w:tr>
    </w:tbl>
    <w:p>
      <w:pPr>
        <w:spacing w:before="267" w:line="360" w:lineRule="auto"/>
        <w:ind w:firstLine="15"/>
        <w:outlineLvl w:val="2"/>
        <w:rPr>
          <w:rFonts w:ascii="宋体" w:hAnsi="宋体" w:eastAsia="宋体" w:cs="宋体"/>
          <w:highlight w:val="none"/>
        </w:rPr>
      </w:pPr>
      <w:r>
        <w:rPr>
          <w:rFonts w:hint="eastAsia" w:ascii="宋体" w:hAnsi="宋体" w:eastAsia="宋体" w:cs="宋体"/>
          <w:highlight w:val="none"/>
        </w:rPr>
        <w:t>2.技术标准与要求</w:t>
      </w:r>
    </w:p>
    <w:tbl>
      <w:tblPr>
        <w:tblStyle w:val="8"/>
        <w:tblW w:w="500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
        <w:gridCol w:w="834"/>
        <w:gridCol w:w="1424"/>
        <w:gridCol w:w="1644"/>
        <w:gridCol w:w="358"/>
        <w:gridCol w:w="463"/>
        <w:gridCol w:w="1129"/>
        <w:gridCol w:w="1129"/>
        <w:gridCol w:w="682"/>
        <w:gridCol w:w="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78"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序序号</w:t>
            </w:r>
          </w:p>
        </w:tc>
        <w:tc>
          <w:tcPr>
            <w:tcW w:w="500"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核心产品（“△”）</w:t>
            </w:r>
          </w:p>
        </w:tc>
        <w:tc>
          <w:tcPr>
            <w:tcW w:w="854"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品目名称</w:t>
            </w:r>
          </w:p>
        </w:tc>
        <w:tc>
          <w:tcPr>
            <w:tcW w:w="986"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标的名称</w:t>
            </w:r>
          </w:p>
        </w:tc>
        <w:tc>
          <w:tcPr>
            <w:tcW w:w="215"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单位</w:t>
            </w:r>
          </w:p>
        </w:tc>
        <w:tc>
          <w:tcPr>
            <w:tcW w:w="278"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数量</w:t>
            </w:r>
          </w:p>
        </w:tc>
        <w:tc>
          <w:tcPr>
            <w:tcW w:w="677"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分项预算单价</w:t>
            </w:r>
          </w:p>
          <w:p>
            <w:pPr>
              <w:jc w:val="center"/>
              <w:rPr>
                <w:rFonts w:ascii="宋体" w:hAnsi="宋体" w:eastAsia="宋体" w:cs="宋体"/>
                <w:highlight w:val="none"/>
              </w:rPr>
            </w:pPr>
            <w:r>
              <w:rPr>
                <w:rFonts w:hint="eastAsia" w:ascii="宋体" w:hAnsi="宋体" w:eastAsia="宋体" w:cs="宋体"/>
                <w:highlight w:val="none"/>
              </w:rPr>
              <w:t>（元）</w:t>
            </w:r>
          </w:p>
        </w:tc>
        <w:tc>
          <w:tcPr>
            <w:tcW w:w="677"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分项预算总价</w:t>
            </w:r>
          </w:p>
          <w:p>
            <w:pPr>
              <w:jc w:val="center"/>
              <w:rPr>
                <w:rFonts w:ascii="宋体" w:hAnsi="宋体" w:eastAsia="宋体" w:cs="宋体"/>
                <w:highlight w:val="none"/>
              </w:rPr>
            </w:pPr>
            <w:r>
              <w:rPr>
                <w:rFonts w:hint="eastAsia" w:ascii="宋体" w:hAnsi="宋体" w:eastAsia="宋体" w:cs="宋体"/>
                <w:highlight w:val="none"/>
              </w:rPr>
              <w:t>（元）</w:t>
            </w:r>
          </w:p>
        </w:tc>
        <w:tc>
          <w:tcPr>
            <w:tcW w:w="409"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所属行业</w:t>
            </w:r>
          </w:p>
        </w:tc>
        <w:tc>
          <w:tcPr>
            <w:tcW w:w="220"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6" w:hRule="atLeast"/>
        </w:trPr>
        <w:tc>
          <w:tcPr>
            <w:tcW w:w="178" w:type="pct"/>
            <w:vAlign w:val="center"/>
          </w:tcPr>
          <w:p>
            <w:pPr>
              <w:jc w:val="center"/>
              <w:rPr>
                <w:rFonts w:ascii="宋体" w:hAnsi="宋体" w:eastAsia="宋体" w:cs="宋体"/>
                <w:highlight w:val="none"/>
              </w:rPr>
            </w:pPr>
            <w:r>
              <w:rPr>
                <w:rFonts w:hint="eastAsia" w:ascii="宋体" w:hAnsi="宋体" w:eastAsia="宋体" w:cs="宋体"/>
                <w:highlight w:val="none"/>
              </w:rPr>
              <w:t>1</w:t>
            </w:r>
          </w:p>
        </w:tc>
        <w:tc>
          <w:tcPr>
            <w:tcW w:w="500" w:type="pct"/>
            <w:vAlign w:val="center"/>
          </w:tcPr>
          <w:p>
            <w:pPr>
              <w:jc w:val="center"/>
              <w:rPr>
                <w:rFonts w:ascii="宋体" w:hAnsi="宋体" w:eastAsia="宋体" w:cs="宋体"/>
                <w:highlight w:val="none"/>
              </w:rPr>
            </w:pPr>
          </w:p>
        </w:tc>
        <w:tc>
          <w:tcPr>
            <w:tcW w:w="854" w:type="pct"/>
            <w:vAlign w:val="center"/>
          </w:tcPr>
          <w:p>
            <w:pPr>
              <w:jc w:val="center"/>
              <w:rPr>
                <w:rFonts w:ascii="宋体" w:hAnsi="宋体" w:eastAsia="宋体" w:cs="宋体"/>
                <w:highlight w:val="none"/>
              </w:rPr>
            </w:pPr>
            <w:r>
              <w:rPr>
                <w:rFonts w:ascii="宋体" w:hAnsi="宋体" w:eastAsia="宋体" w:cs="宋体"/>
                <w:highlight w:val="none"/>
              </w:rPr>
              <w:t>其他农作物副产 品</w:t>
            </w:r>
          </w:p>
        </w:tc>
        <w:tc>
          <w:tcPr>
            <w:tcW w:w="986" w:type="pct"/>
            <w:vAlign w:val="center"/>
          </w:tcPr>
          <w:p>
            <w:pPr>
              <w:jc w:val="center"/>
              <w:rPr>
                <w:rFonts w:ascii="宋体" w:hAnsi="宋体" w:eastAsia="宋体" w:cs="宋体"/>
                <w:highlight w:val="none"/>
              </w:rPr>
            </w:pPr>
            <w:r>
              <w:rPr>
                <w:rFonts w:ascii="宋体" w:cs="宋体"/>
                <w:bCs/>
                <w:sz w:val="24"/>
                <w:szCs w:val="24"/>
                <w:highlight w:val="none"/>
              </w:rPr>
              <w:t>广州市公安局增城区分局202</w:t>
            </w:r>
            <w:r>
              <w:rPr>
                <w:rFonts w:hint="eastAsia" w:ascii="宋体" w:cs="宋体"/>
                <w:bCs/>
                <w:sz w:val="24"/>
                <w:szCs w:val="24"/>
                <w:highlight w:val="none"/>
                <w:lang w:val="en-US" w:eastAsia="zh-CN"/>
              </w:rPr>
              <w:t>3</w:t>
            </w:r>
            <w:r>
              <w:rPr>
                <w:rFonts w:ascii="宋体" w:cs="宋体"/>
                <w:bCs/>
                <w:sz w:val="24"/>
                <w:szCs w:val="24"/>
                <w:highlight w:val="none"/>
              </w:rPr>
              <w:t>年饭堂食材采购</w:t>
            </w:r>
            <w:r>
              <w:rPr>
                <w:rFonts w:hint="eastAsia" w:ascii="宋体" w:eastAsia="宋体" w:cs="宋体"/>
                <w:bCs/>
                <w:sz w:val="24"/>
                <w:szCs w:val="24"/>
                <w:highlight w:val="none"/>
                <w:lang w:eastAsia="zh-CN"/>
              </w:rPr>
              <w:t>（</w:t>
            </w:r>
            <w:r>
              <w:rPr>
                <w:rFonts w:hint="eastAsia" w:ascii="宋体" w:eastAsia="宋体" w:cs="宋体"/>
                <w:bCs/>
                <w:sz w:val="24"/>
                <w:szCs w:val="24"/>
                <w:highlight w:val="none"/>
                <w:lang w:val="en-US" w:eastAsia="zh-CN"/>
              </w:rPr>
              <w:t>南部片区</w:t>
            </w:r>
            <w:r>
              <w:rPr>
                <w:rFonts w:hint="eastAsia" w:ascii="宋体" w:eastAsia="宋体" w:cs="宋体"/>
                <w:bCs/>
                <w:sz w:val="24"/>
                <w:szCs w:val="24"/>
                <w:highlight w:val="none"/>
                <w:lang w:eastAsia="zh-CN"/>
              </w:rPr>
              <w:t>）</w:t>
            </w:r>
          </w:p>
        </w:tc>
        <w:tc>
          <w:tcPr>
            <w:tcW w:w="215" w:type="pct"/>
            <w:vAlign w:val="center"/>
          </w:tcPr>
          <w:p>
            <w:pPr>
              <w:jc w:val="center"/>
              <w:rPr>
                <w:rFonts w:ascii="宋体" w:hAnsi="宋体" w:eastAsia="宋体" w:cs="宋体"/>
                <w:highlight w:val="none"/>
              </w:rPr>
            </w:pPr>
            <w:r>
              <w:rPr>
                <w:rFonts w:hint="eastAsia" w:ascii="宋体" w:hAnsi="宋体" w:eastAsia="宋体" w:cs="宋体"/>
                <w:highlight w:val="none"/>
              </w:rPr>
              <w:t>项</w:t>
            </w:r>
          </w:p>
        </w:tc>
        <w:tc>
          <w:tcPr>
            <w:tcW w:w="278" w:type="pct"/>
            <w:vAlign w:val="center"/>
          </w:tcPr>
          <w:p>
            <w:pPr>
              <w:jc w:val="center"/>
              <w:rPr>
                <w:rFonts w:ascii="宋体" w:hAnsi="宋体" w:eastAsia="宋体" w:cs="宋体"/>
                <w:highlight w:val="none"/>
              </w:rPr>
            </w:pPr>
            <w:r>
              <w:rPr>
                <w:rFonts w:hint="eastAsia" w:ascii="宋体" w:hAnsi="宋体" w:eastAsia="宋体" w:cs="宋体"/>
                <w:highlight w:val="none"/>
              </w:rPr>
              <w:t>1.00</w:t>
            </w:r>
          </w:p>
        </w:tc>
        <w:tc>
          <w:tcPr>
            <w:tcW w:w="677" w:type="pct"/>
            <w:vAlign w:val="center"/>
          </w:tcPr>
          <w:p>
            <w:pPr>
              <w:jc w:val="center"/>
              <w:rPr>
                <w:rFonts w:ascii="宋体" w:hAnsi="宋体" w:eastAsia="宋体" w:cs="宋体"/>
                <w:highlight w:val="none"/>
              </w:rPr>
            </w:pPr>
            <w:r>
              <w:rPr>
                <w:rFonts w:hint="eastAsia" w:ascii="宋体" w:cs="宋体"/>
                <w:bCs/>
                <w:sz w:val="24"/>
                <w:szCs w:val="24"/>
                <w:highlight w:val="none"/>
                <w:lang w:val="en-US" w:eastAsia="zh-CN"/>
              </w:rPr>
              <w:t>6,137,040</w:t>
            </w:r>
          </w:p>
        </w:tc>
        <w:tc>
          <w:tcPr>
            <w:tcW w:w="677" w:type="pct"/>
            <w:vAlign w:val="center"/>
          </w:tcPr>
          <w:p>
            <w:pPr>
              <w:jc w:val="center"/>
              <w:rPr>
                <w:rFonts w:ascii="宋体" w:hAnsi="宋体" w:eastAsia="宋体" w:cs="宋体"/>
                <w:highlight w:val="none"/>
              </w:rPr>
            </w:pPr>
            <w:r>
              <w:rPr>
                <w:rFonts w:hint="eastAsia" w:ascii="宋体" w:cs="宋体"/>
                <w:bCs/>
                <w:sz w:val="24"/>
                <w:szCs w:val="24"/>
                <w:highlight w:val="none"/>
                <w:lang w:val="en-US" w:eastAsia="zh-CN"/>
              </w:rPr>
              <w:t>6,137,040</w:t>
            </w:r>
          </w:p>
        </w:tc>
        <w:tc>
          <w:tcPr>
            <w:tcW w:w="409" w:type="pct"/>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批发业</w:t>
            </w:r>
          </w:p>
        </w:tc>
        <w:tc>
          <w:tcPr>
            <w:tcW w:w="220" w:type="pct"/>
            <w:vAlign w:val="center"/>
          </w:tcPr>
          <w:p>
            <w:pPr>
              <w:jc w:val="center"/>
              <w:rPr>
                <w:rFonts w:ascii="宋体" w:hAnsi="宋体" w:eastAsia="宋体" w:cs="宋体"/>
                <w:highlight w:val="none"/>
              </w:rPr>
            </w:pPr>
            <w:r>
              <w:rPr>
                <w:rFonts w:hint="eastAsia" w:ascii="宋体" w:hAnsi="宋体" w:eastAsia="宋体" w:cs="宋体"/>
                <w:highlight w:val="none"/>
              </w:rPr>
              <w:t>详见附表一</w:t>
            </w:r>
          </w:p>
        </w:tc>
      </w:tr>
    </w:tbl>
    <w:p>
      <w:pPr>
        <w:spacing w:before="147" w:line="360" w:lineRule="auto"/>
        <w:ind w:firstLine="391"/>
        <w:rPr>
          <w:rFonts w:ascii="宋体" w:hAnsi="宋体" w:eastAsia="宋体" w:cs="宋体"/>
          <w:highlight w:val="none"/>
        </w:rPr>
      </w:pPr>
      <w:r>
        <w:rPr>
          <w:rFonts w:hint="eastAsia" w:ascii="宋体" w:hAnsi="宋体" w:eastAsia="宋体" w:cs="宋体"/>
          <w:spacing w:val="-1"/>
          <w:highlight w:val="none"/>
        </w:rPr>
        <w:t>注：若存在多项核心产品，当不同供应商提供的任意一项核心产品的品牌相同，则视同其是所响应核心产品品牌相同供应</w:t>
      </w:r>
      <w:r>
        <w:rPr>
          <w:rFonts w:hint="eastAsia" w:ascii="宋体" w:hAnsi="宋体" w:eastAsia="宋体" w:cs="宋体"/>
          <w:spacing w:val="-5"/>
          <w:highlight w:val="none"/>
        </w:rPr>
        <w:t>商。</w:t>
      </w:r>
    </w:p>
    <w:p>
      <w:pPr>
        <w:spacing w:before="312" w:line="360" w:lineRule="auto"/>
        <w:ind w:firstLine="16"/>
        <w:rPr>
          <w:rFonts w:ascii="宋体" w:hAnsi="宋体" w:eastAsia="宋体" w:cs="宋体"/>
          <w:highlight w:val="none"/>
        </w:rPr>
      </w:pPr>
      <w:r>
        <w:rPr>
          <w:rFonts w:hint="eastAsia" w:ascii="宋体" w:hAnsi="宋体" w:eastAsia="宋体" w:cs="宋体"/>
          <w:spacing w:val="12"/>
          <w:highlight w:val="none"/>
        </w:rPr>
        <w:t>附表一：</w:t>
      </w:r>
      <w:r>
        <w:rPr>
          <w:rFonts w:hint="eastAsia" w:ascii="宋体" w:hAnsi="宋体" w:eastAsia="宋体" w:cs="宋体"/>
          <w:b/>
          <w:bCs/>
          <w:spacing w:val="-1"/>
          <w:highlight w:val="none"/>
        </w:rPr>
        <w:t>（广州市公安局增城区分局202</w:t>
      </w:r>
      <w:r>
        <w:rPr>
          <w:rFonts w:hint="eastAsia" w:ascii="宋体" w:hAnsi="宋体" w:eastAsia="宋体" w:cs="宋体"/>
          <w:b/>
          <w:bCs/>
          <w:spacing w:val="-1"/>
          <w:highlight w:val="none"/>
          <w:lang w:val="en-US" w:eastAsia="zh-CN"/>
        </w:rPr>
        <w:t>3</w:t>
      </w:r>
      <w:r>
        <w:rPr>
          <w:rFonts w:hint="eastAsia" w:ascii="宋体" w:hAnsi="宋体" w:eastAsia="宋体" w:cs="宋体"/>
          <w:b/>
          <w:bCs/>
          <w:spacing w:val="-1"/>
          <w:highlight w:val="none"/>
        </w:rPr>
        <w:t>年饭堂食材采购）</w:t>
      </w:r>
    </w:p>
    <w:tbl>
      <w:tblPr>
        <w:tblStyle w:val="8"/>
        <w:tblW w:w="517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8"/>
        <w:gridCol w:w="419"/>
        <w:gridCol w:w="7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3" w:hRule="atLeast"/>
        </w:trPr>
        <w:tc>
          <w:tcPr>
            <w:tcW w:w="306" w:type="pct"/>
            <w:shd w:val="clear" w:color="auto" w:fill="F5F5F5"/>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参数性质</w:t>
            </w:r>
          </w:p>
        </w:tc>
        <w:tc>
          <w:tcPr>
            <w:tcW w:w="243" w:type="pct"/>
            <w:shd w:val="clear" w:color="auto" w:fill="F5F5F5"/>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序号</w:t>
            </w:r>
          </w:p>
        </w:tc>
        <w:tc>
          <w:tcPr>
            <w:tcW w:w="4449" w:type="pct"/>
            <w:shd w:val="clear" w:color="auto" w:fill="F5F5F5"/>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具体技术(参数)要求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3" w:hRule="atLeast"/>
        </w:trPr>
        <w:tc>
          <w:tcPr>
            <w:tcW w:w="306" w:type="pct"/>
            <w:vAlign w:val="center"/>
          </w:tcPr>
          <w:p>
            <w:pPr>
              <w:pStyle w:val="9"/>
              <w:spacing w:before="60" w:line="379" w:lineRule="auto"/>
              <w:ind w:left="130" w:leftChars="0" w:right="140" w:rightChars="0"/>
              <w:jc w:val="center"/>
              <w:rPr>
                <w:rFonts w:ascii="宋体" w:hAnsi="宋体" w:eastAsia="宋体" w:cs="宋体"/>
                <w:highlight w:val="none"/>
              </w:rPr>
            </w:pPr>
            <w:r>
              <w:rPr>
                <w:color w:val="auto"/>
                <w:sz w:val="24"/>
                <w:szCs w:val="24"/>
                <w:highlight w:val="none"/>
              </w:rPr>
              <w:t>★</w:t>
            </w:r>
          </w:p>
        </w:tc>
        <w:tc>
          <w:tcPr>
            <w:tcW w:w="243" w:type="pct"/>
            <w:vAlign w:val="center"/>
          </w:tcPr>
          <w:p>
            <w:pPr>
              <w:pStyle w:val="9"/>
              <w:numPr>
                <w:ilvl w:val="0"/>
                <w:numId w:val="3"/>
              </w:numPr>
              <w:spacing w:before="60" w:line="379" w:lineRule="auto"/>
              <w:ind w:left="425" w:leftChars="0" w:right="140" w:rightChars="0" w:hanging="425" w:firstLineChars="0"/>
              <w:jc w:val="center"/>
              <w:rPr>
                <w:rFonts w:ascii="宋体" w:hAnsi="宋体" w:eastAsia="宋体" w:cs="宋体"/>
                <w:highlight w:val="none"/>
              </w:rPr>
            </w:pPr>
          </w:p>
        </w:tc>
        <w:tc>
          <w:tcPr>
            <w:tcW w:w="4449" w:type="pct"/>
            <w:vAlign w:val="top"/>
          </w:tcPr>
          <w:p>
            <w:pPr>
              <w:pStyle w:val="9"/>
              <w:adjustRightInd w:val="0"/>
              <w:snapToGrid w:val="0"/>
              <w:spacing w:line="276" w:lineRule="auto"/>
              <w:ind w:left="100" w:leftChars="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采购人有权在采购预算中预留上级部门规定年度预算份额，用于通过“政府采购贫困地区农副产品网络销售平台”（即“国家832扶贫平台”）采购农副产品，投标人必须承诺无条件配合采购人保留年度预算份额，具体采购产品类别、数量、预算、采购时间及结算方式等由采购人自行决定。“国家832扶贫平台”采购农副产品，结算按照“国家832扶贫平台”上公示的价格进行，结算金额=国家832扶贫平台公示单价×实际供货量。当采购人提出需要在“国家832扶贫平台”采购的要求时，中标人不得无理由拒绝，否则视为存在供货质量问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trPr>
        <w:tc>
          <w:tcPr>
            <w:tcW w:w="306" w:type="pct"/>
            <w:vAlign w:val="center"/>
          </w:tcPr>
          <w:p>
            <w:pPr>
              <w:pStyle w:val="9"/>
              <w:spacing w:before="60" w:line="379" w:lineRule="auto"/>
              <w:ind w:left="130" w:leftChars="0" w:right="140" w:rightChars="0"/>
              <w:jc w:val="center"/>
              <w:rPr>
                <w:color w:val="auto"/>
                <w:sz w:val="24"/>
                <w:szCs w:val="24"/>
                <w:highlight w:val="none"/>
              </w:rPr>
            </w:pPr>
            <w:r>
              <w:rPr>
                <w:rFonts w:hint="eastAsia"/>
                <w:b w:val="0"/>
                <w:color w:val="auto"/>
                <w:sz w:val="24"/>
                <w:szCs w:val="24"/>
                <w:highlight w:val="none"/>
              </w:rPr>
              <w:t>★</w:t>
            </w:r>
          </w:p>
        </w:tc>
        <w:tc>
          <w:tcPr>
            <w:tcW w:w="243" w:type="pct"/>
            <w:vAlign w:val="center"/>
          </w:tcPr>
          <w:p>
            <w:pPr>
              <w:pStyle w:val="9"/>
              <w:numPr>
                <w:ilvl w:val="0"/>
                <w:numId w:val="3"/>
              </w:numPr>
              <w:spacing w:before="60" w:line="379" w:lineRule="auto"/>
              <w:ind w:left="425" w:leftChars="0" w:right="140" w:rightChars="0" w:hanging="425" w:firstLineChars="0"/>
              <w:jc w:val="center"/>
              <w:rPr>
                <w:rFonts w:ascii="宋体" w:hAnsi="宋体" w:eastAsia="宋体" w:cs="宋体"/>
                <w:highlight w:val="none"/>
              </w:rPr>
            </w:pPr>
          </w:p>
        </w:tc>
        <w:tc>
          <w:tcPr>
            <w:tcW w:w="4449" w:type="pct"/>
            <w:vAlign w:val="top"/>
          </w:tcPr>
          <w:p>
            <w:pPr>
              <w:pStyle w:val="9"/>
              <w:adjustRightInd w:val="0"/>
              <w:snapToGrid w:val="0"/>
              <w:spacing w:line="276" w:lineRule="auto"/>
              <w:ind w:left="1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其他</w:t>
            </w:r>
          </w:p>
          <w:p>
            <w:pPr>
              <w:pStyle w:val="9"/>
              <w:adjustRightInd w:val="0"/>
              <w:snapToGrid w:val="0"/>
              <w:spacing w:line="276" w:lineRule="auto"/>
              <w:ind w:left="100" w:leftChars="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★（4）中标人所供应的食材必须符合国家有关标准，保证无异味、无霉烂变质，如不符合招标文件所描述的质量标准，必须接受无偿退货并承担相应违约责任（须提交承诺函，格式自拟）。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8" w:hRule="atLeast"/>
        </w:trPr>
        <w:tc>
          <w:tcPr>
            <w:tcW w:w="306" w:type="pct"/>
            <w:vAlign w:val="center"/>
          </w:tcPr>
          <w:p>
            <w:pPr>
              <w:pStyle w:val="9"/>
              <w:spacing w:before="60" w:line="379" w:lineRule="auto"/>
              <w:ind w:left="130" w:leftChars="0" w:right="140" w:rightChars="0"/>
              <w:jc w:val="center"/>
              <w:rPr>
                <w:color w:val="auto"/>
                <w:sz w:val="24"/>
                <w:szCs w:val="24"/>
                <w:highlight w:val="none"/>
              </w:rPr>
            </w:pPr>
            <w:r>
              <w:rPr>
                <w:rFonts w:hint="eastAsia"/>
                <w:color w:val="auto"/>
                <w:sz w:val="24"/>
                <w:szCs w:val="24"/>
                <w:highlight w:val="none"/>
              </w:rPr>
              <w:t>★</w:t>
            </w:r>
          </w:p>
        </w:tc>
        <w:tc>
          <w:tcPr>
            <w:tcW w:w="243" w:type="pct"/>
            <w:vAlign w:val="center"/>
          </w:tcPr>
          <w:p>
            <w:pPr>
              <w:pStyle w:val="9"/>
              <w:numPr>
                <w:ilvl w:val="0"/>
                <w:numId w:val="3"/>
              </w:numPr>
              <w:spacing w:before="60" w:line="379" w:lineRule="auto"/>
              <w:ind w:left="425" w:leftChars="0" w:right="140" w:rightChars="0" w:hanging="425" w:firstLineChars="0"/>
              <w:jc w:val="center"/>
              <w:rPr>
                <w:rFonts w:ascii="宋体" w:hAnsi="宋体" w:eastAsia="宋体" w:cs="宋体"/>
                <w:highlight w:val="none"/>
              </w:rPr>
            </w:pPr>
          </w:p>
        </w:tc>
        <w:tc>
          <w:tcPr>
            <w:tcW w:w="4449" w:type="pct"/>
            <w:vAlign w:val="top"/>
          </w:tcPr>
          <w:p>
            <w:pPr>
              <w:pStyle w:val="9"/>
              <w:adjustRightInd w:val="0"/>
              <w:snapToGrid w:val="0"/>
              <w:spacing w:line="276" w:lineRule="auto"/>
              <w:ind w:left="100" w:leftChars="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报价要求及定价方式</w:t>
            </w:r>
          </w:p>
          <w:p>
            <w:pPr>
              <w:pStyle w:val="9"/>
              <w:adjustRightInd w:val="0"/>
              <w:snapToGrid w:val="0"/>
              <w:spacing w:line="276" w:lineRule="auto"/>
              <w:ind w:left="100" w:leftChars="0" w:firstLine="416"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（一）本项目食材采购类别包括①蛋肉类、②粮油面类、③瓜果蔬菜类、④冻品类、⑤干货和腊味类、⑥调味品和配料类、⑦水果。</w:t>
            </w:r>
            <w:r>
              <w:rPr>
                <w:rFonts w:hint="eastAsia" w:ascii="宋体" w:hAnsi="宋体" w:eastAsia="宋体" w:cs="宋体"/>
                <w:b/>
                <w:bCs/>
                <w:smallCaps w:val="0"/>
                <w:snapToGrid w:val="0"/>
                <w:color w:val="000000"/>
                <w:spacing w:val="-1"/>
                <w:sz w:val="21"/>
                <w:szCs w:val="21"/>
                <w:highlight w:val="none"/>
                <w:lang w:val="en-US" w:eastAsia="zh-CN" w:bidi="ar-SA"/>
              </w:rPr>
              <w:t>投标人报价为折扣率报价（0＜折扣率报价≤100% ，折扣率报价确定且为固定唯一值），统一报出一个适用于所有采购类别的报价，费用支付以实际供货量结算为准。</w:t>
            </w:r>
          </w:p>
          <w:p>
            <w:pPr>
              <w:pStyle w:val="9"/>
              <w:adjustRightInd w:val="0"/>
              <w:snapToGrid w:val="0"/>
              <w:spacing w:line="276" w:lineRule="auto"/>
              <w:ind w:left="100" w:leftChars="0" w:firstLine="416"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（二）中标人在供应过程中以中标折扣率为执行标准。</w:t>
            </w:r>
          </w:p>
          <w:p>
            <w:pPr>
              <w:pStyle w:val="9"/>
              <w:adjustRightInd w:val="0"/>
              <w:snapToGrid w:val="0"/>
              <w:spacing w:line="276" w:lineRule="auto"/>
              <w:ind w:left="100" w:leftChars="0" w:firstLine="416"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（三）定价方式</w:t>
            </w:r>
          </w:p>
          <w:p>
            <w:pPr>
              <w:pStyle w:val="9"/>
              <w:adjustRightInd w:val="0"/>
              <w:snapToGrid w:val="0"/>
              <w:spacing w:line="276" w:lineRule="auto"/>
              <w:ind w:left="100" w:leftChars="0" w:firstLine="416"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eastAsia="宋体" w:cs="宋体"/>
                <w:b w:val="0"/>
                <w:smallCaps w:val="0"/>
                <w:snapToGrid w:val="0"/>
                <w:color w:val="000000"/>
                <w:spacing w:val="-1"/>
                <w:sz w:val="21"/>
                <w:szCs w:val="21"/>
                <w:highlight w:val="none"/>
                <w:lang w:val="en-US" w:eastAsia="zh-CN" w:bidi="ar-SA"/>
              </w:rPr>
              <w:t>1.</w:t>
            </w:r>
            <w:r>
              <w:rPr>
                <w:rFonts w:hint="eastAsia" w:ascii="宋体" w:hAnsi="宋体" w:eastAsia="宋体" w:cs="宋体"/>
                <w:b w:val="0"/>
                <w:smallCaps w:val="0"/>
                <w:snapToGrid w:val="0"/>
                <w:color w:val="000000"/>
                <w:spacing w:val="-1"/>
                <w:sz w:val="21"/>
                <w:szCs w:val="21"/>
                <w:highlight w:val="none"/>
                <w:lang w:val="en-US" w:eastAsia="zh-CN" w:bidi="ar-SA"/>
              </w:rPr>
              <w:t>定价时间以10天为周期，价格均以当月（1日、11日、21日）广州市发展和改革委员会网站内的广州市菜篮子价格栏目公布的“周边5区菜篮子平均零售价格和米袋子行情价格”中食材价格经采购人审核后作为基准价；</w:t>
            </w:r>
          </w:p>
          <w:p>
            <w:pPr>
              <w:pStyle w:val="9"/>
              <w:adjustRightInd w:val="0"/>
              <w:snapToGrid w:val="0"/>
              <w:spacing w:line="276" w:lineRule="auto"/>
              <w:ind w:left="100" w:leftChars="0" w:firstLine="416"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eastAsia="宋体" w:cs="宋体"/>
                <w:b w:val="0"/>
                <w:smallCaps w:val="0"/>
                <w:snapToGrid w:val="0"/>
                <w:color w:val="000000"/>
                <w:spacing w:val="-1"/>
                <w:sz w:val="21"/>
                <w:szCs w:val="21"/>
                <w:highlight w:val="none"/>
                <w:lang w:val="en-US" w:eastAsia="zh-CN" w:bidi="ar-SA"/>
              </w:rPr>
              <w:t>2.</w:t>
            </w:r>
            <w:r>
              <w:rPr>
                <w:rFonts w:hint="eastAsia" w:ascii="宋体" w:hAnsi="宋体" w:eastAsia="宋体" w:cs="宋体"/>
                <w:b w:val="0"/>
                <w:smallCaps w:val="0"/>
                <w:snapToGrid w:val="0"/>
                <w:color w:val="000000"/>
                <w:spacing w:val="-1"/>
                <w:sz w:val="21"/>
                <w:szCs w:val="21"/>
                <w:highlight w:val="none"/>
                <w:lang w:val="en-US" w:eastAsia="zh-CN" w:bidi="ar-SA"/>
              </w:rPr>
              <w:t>广州市发展和改革委员会网站中（广州市菜篮子价格：“周边5区菜篮子平均零售价格和米袋子行情价格”）未公布的品种，以定价日当天广州市菜篮子价格栏目（全市菜篮子平均零售价或中心城区菜篮子平均零售价或全市32种蔬菜平均零售价或水果和牛奶栏目）公布的最低食材价格（按品种查询）并经采购人审核后作为基准价；</w:t>
            </w:r>
          </w:p>
          <w:p>
            <w:pPr>
              <w:pStyle w:val="9"/>
              <w:adjustRightInd w:val="0"/>
              <w:snapToGrid w:val="0"/>
              <w:spacing w:line="276" w:lineRule="auto"/>
              <w:ind w:left="100" w:leftChars="0" w:firstLine="416"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eastAsia="宋体" w:cs="宋体"/>
                <w:b w:val="0"/>
                <w:smallCaps w:val="0"/>
                <w:snapToGrid w:val="0"/>
                <w:color w:val="000000"/>
                <w:spacing w:val="-1"/>
                <w:sz w:val="21"/>
                <w:szCs w:val="21"/>
                <w:highlight w:val="none"/>
                <w:lang w:val="en-US" w:eastAsia="zh-CN" w:bidi="ar-SA"/>
              </w:rPr>
              <w:t>3.</w:t>
            </w:r>
            <w:r>
              <w:rPr>
                <w:rFonts w:hint="eastAsia" w:ascii="宋体" w:hAnsi="宋体" w:eastAsia="宋体" w:cs="宋体"/>
                <w:b w:val="0"/>
                <w:smallCaps w:val="0"/>
                <w:snapToGrid w:val="0"/>
                <w:color w:val="000000"/>
                <w:spacing w:val="-1"/>
                <w:sz w:val="21"/>
                <w:szCs w:val="21"/>
                <w:highlight w:val="none"/>
                <w:lang w:val="en-US" w:eastAsia="zh-CN" w:bidi="ar-SA"/>
              </w:rPr>
              <w:t>广州市菜篮子价格栏目未公布食材价格的或者同类食材不同质量的</w:t>
            </w:r>
            <w:r>
              <w:rPr>
                <w:rFonts w:hint="eastAsia" w:ascii="宋体" w:hAnsi="宋体" w:eastAsia="宋体" w:cs="宋体"/>
                <w:b/>
                <w:bCs/>
                <w:smallCaps w:val="0"/>
                <w:snapToGrid w:val="0"/>
                <w:color w:val="000000"/>
                <w:spacing w:val="-1"/>
                <w:sz w:val="21"/>
                <w:szCs w:val="21"/>
                <w:highlight w:val="none"/>
                <w:lang w:val="en-US" w:eastAsia="zh-CN" w:bidi="ar-SA"/>
              </w:rPr>
              <w:t>以增城区辖区内大润发、华润万家、永旺超市、好又多、百佳永辉、万和超市、世纪华联超市</w:t>
            </w:r>
            <w:r>
              <w:rPr>
                <w:rFonts w:hint="eastAsia" w:ascii="宋体" w:hAnsi="宋体" w:eastAsia="宋体" w:cs="宋体"/>
                <w:b w:val="0"/>
                <w:smallCaps w:val="0"/>
                <w:snapToGrid w:val="0"/>
                <w:color w:val="000000"/>
                <w:spacing w:val="-1"/>
                <w:sz w:val="21"/>
                <w:szCs w:val="21"/>
                <w:highlight w:val="none"/>
                <w:lang w:val="en-US" w:eastAsia="zh-CN" w:bidi="ar-SA"/>
              </w:rPr>
              <w:t>，以其中采购人指定的任一家超市或者周边具有经营许可证的食材市场预包装的同品牌相同规格商品（没有预包装的，则按照同品牌质量相当的）零售价格作为基准价，定价时间以一个月为周期（定价日以采购人审核确定的日期为准），中标人应于定价日当天12点前采集价格数据并提交书面证明材料，经采购人审核后作为定价日当月的基准价。</w:t>
            </w:r>
          </w:p>
          <w:p>
            <w:pPr>
              <w:pStyle w:val="9"/>
              <w:adjustRightInd w:val="0"/>
              <w:snapToGrid w:val="0"/>
              <w:spacing w:line="276" w:lineRule="auto"/>
              <w:ind w:left="100" w:leftChars="0" w:firstLine="418" w:firstLineChars="200"/>
              <w:rPr>
                <w:rFonts w:hint="eastAsia"/>
                <w:b w:val="0"/>
                <w:color w:val="auto"/>
                <w:sz w:val="24"/>
                <w:szCs w:val="24"/>
                <w:highlight w:val="none"/>
              </w:rPr>
            </w:pPr>
            <w:r>
              <w:rPr>
                <w:rFonts w:hint="eastAsia" w:ascii="宋体" w:hAnsi="宋体" w:eastAsia="宋体" w:cs="宋体"/>
                <w:b/>
                <w:bCs/>
                <w:smallCaps w:val="0"/>
                <w:snapToGrid w:val="0"/>
                <w:color w:val="000000"/>
                <w:spacing w:val="-1"/>
                <w:sz w:val="21"/>
                <w:szCs w:val="21"/>
                <w:highlight w:val="none"/>
                <w:lang w:val="en-US" w:eastAsia="zh-CN" w:bidi="ar-SA"/>
              </w:rPr>
              <w:t>（四）结算公式：结算价格＝采购人审核后的基准价×中标折扣率×实际供货量，“国家832扶贫平台”采购的货物除外。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6" w:type="pct"/>
            <w:vAlign w:val="center"/>
          </w:tcPr>
          <w:p>
            <w:pPr>
              <w:pStyle w:val="9"/>
              <w:spacing w:before="60" w:line="379" w:lineRule="auto"/>
              <w:ind w:left="130" w:leftChars="0" w:right="140" w:rightChars="0"/>
              <w:jc w:val="center"/>
              <w:rPr>
                <w:color w:val="auto"/>
                <w:sz w:val="24"/>
                <w:szCs w:val="24"/>
                <w:highlight w:val="none"/>
              </w:rPr>
            </w:pPr>
          </w:p>
        </w:tc>
        <w:tc>
          <w:tcPr>
            <w:tcW w:w="243" w:type="pct"/>
            <w:vAlign w:val="center"/>
          </w:tcPr>
          <w:p>
            <w:pPr>
              <w:pStyle w:val="9"/>
              <w:numPr>
                <w:ilvl w:val="0"/>
                <w:numId w:val="0"/>
              </w:numPr>
              <w:spacing w:before="60" w:line="379" w:lineRule="auto"/>
              <w:ind w:leftChars="0" w:right="140" w:rightChars="0"/>
              <w:jc w:val="center"/>
              <w:rPr>
                <w:rFonts w:hint="default" w:ascii="宋体" w:hAnsi="宋体" w:eastAsia="宋体" w:cs="宋体"/>
                <w:highlight w:val="none"/>
                <w:lang w:val="en-US" w:eastAsia="zh-CN"/>
              </w:rPr>
            </w:pPr>
            <w:r>
              <w:rPr>
                <w:rFonts w:hint="eastAsia" w:eastAsia="宋体" w:cs="宋体"/>
                <w:highlight w:val="none"/>
                <w:lang w:val="en-US" w:eastAsia="zh-CN"/>
              </w:rPr>
              <w:t>4.</w:t>
            </w:r>
          </w:p>
        </w:tc>
        <w:tc>
          <w:tcPr>
            <w:tcW w:w="4449" w:type="pct"/>
            <w:vAlign w:val="top"/>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食材需求</w:t>
            </w:r>
          </w:p>
          <w:p>
            <w:pPr>
              <w:pStyle w:val="9"/>
              <w:adjustRightInd w:val="0"/>
              <w:snapToGrid w:val="0"/>
              <w:spacing w:line="276" w:lineRule="auto"/>
              <w:ind w:left="100" w:leftChars="0" w:firstLine="416"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说明：需求包含但不限于所列明的食材类别及项目，未列明的项目如采购人需要，中标人须无条件供给，金额按中标折扣率进行结算。</w:t>
            </w:r>
          </w:p>
          <w:p>
            <w:pPr>
              <w:pStyle w:val="9"/>
              <w:adjustRightInd w:val="0"/>
              <w:snapToGrid w:val="0"/>
              <w:spacing w:line="276" w:lineRule="auto"/>
              <w:ind w:left="100" w:leftChars="0" w:firstLine="418"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（一）蛋肉类（包括但不仅限于以下品种，可根据实际情况增减品种）</w:t>
            </w:r>
          </w:p>
          <w:tbl>
            <w:tblPr>
              <w:tblStyle w:val="6"/>
              <w:tblW w:w="46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28"/>
              <w:gridCol w:w="1328"/>
              <w:gridCol w:w="1328"/>
              <w:gridCol w:w="1329"/>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pPr>
                    <w:pStyle w:val="9"/>
                    <w:adjustRightInd w:val="0"/>
                    <w:snapToGrid w:val="0"/>
                    <w:spacing w:line="276" w:lineRule="auto"/>
                    <w:jc w:val="center"/>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938" w:type="pct"/>
                  <w:noWrap w:val="0"/>
                  <w:vAlign w:val="center"/>
                </w:tcPr>
                <w:p>
                  <w:pPr>
                    <w:pStyle w:val="9"/>
                    <w:adjustRightInd w:val="0"/>
                    <w:snapToGrid w:val="0"/>
                    <w:spacing w:line="276" w:lineRule="auto"/>
                    <w:ind w:firstLine="418" w:firstLineChars="200"/>
                    <w:jc w:val="center"/>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938" w:type="pct"/>
                  <w:noWrap w:val="0"/>
                  <w:vAlign w:val="center"/>
                </w:tcPr>
                <w:p>
                  <w:pPr>
                    <w:pStyle w:val="9"/>
                    <w:adjustRightInd w:val="0"/>
                    <w:snapToGrid w:val="0"/>
                    <w:spacing w:line="276" w:lineRule="auto"/>
                    <w:ind w:left="100" w:leftChars="0" w:firstLine="418" w:firstLineChars="200"/>
                    <w:jc w:val="center"/>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938" w:type="pct"/>
                  <w:noWrap w:val="0"/>
                  <w:vAlign w:val="center"/>
                </w:tcPr>
                <w:p>
                  <w:pPr>
                    <w:pStyle w:val="9"/>
                    <w:adjustRightInd w:val="0"/>
                    <w:snapToGrid w:val="0"/>
                    <w:spacing w:line="276" w:lineRule="auto"/>
                    <w:ind w:left="100" w:leftChars="0" w:firstLine="418" w:firstLineChars="200"/>
                    <w:jc w:val="center"/>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938" w:type="pct"/>
                  <w:noWrap w:val="0"/>
                  <w:vAlign w:val="center"/>
                </w:tcPr>
                <w:p>
                  <w:pPr>
                    <w:pStyle w:val="9"/>
                    <w:adjustRightInd w:val="0"/>
                    <w:snapToGrid w:val="0"/>
                    <w:spacing w:line="276" w:lineRule="auto"/>
                    <w:ind w:left="100" w:leftChars="0" w:firstLine="418" w:firstLineChars="200"/>
                    <w:jc w:val="center"/>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677" w:type="pct"/>
                  <w:noWrap w:val="0"/>
                  <w:vAlign w:val="center"/>
                </w:tcPr>
                <w:p>
                  <w:pPr>
                    <w:pStyle w:val="9"/>
                    <w:adjustRightInd w:val="0"/>
                    <w:snapToGrid w:val="0"/>
                    <w:spacing w:line="276" w:lineRule="auto"/>
                    <w:jc w:val="center"/>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pPr>
                    <w:pStyle w:val="9"/>
                    <w:adjustRightInd w:val="0"/>
                    <w:snapToGrid w:val="0"/>
                    <w:spacing w:line="276" w:lineRule="auto"/>
                    <w:ind w:left="100" w:leftChars="0" w:firstLine="416" w:firstLineChars="200"/>
                    <w:jc w:val="center"/>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w:t>
                  </w:r>
                </w:p>
              </w:tc>
              <w:tc>
                <w:tcPr>
                  <w:tcW w:w="938" w:type="pct"/>
                  <w:noWrap w:val="0"/>
                  <w:vAlign w:val="center"/>
                </w:tcPr>
                <w:p>
                  <w:pPr>
                    <w:pStyle w:val="9"/>
                    <w:adjustRightInd w:val="0"/>
                    <w:snapToGrid w:val="0"/>
                    <w:spacing w:line="276" w:lineRule="auto"/>
                    <w:ind w:firstLine="624" w:firstLineChars="3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猪肉</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7</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牛肉</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13</w:t>
                  </w:r>
                </w:p>
              </w:tc>
              <w:tc>
                <w:tcPr>
                  <w:tcW w:w="677" w:type="pct"/>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活鱼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pPr>
                    <w:pStyle w:val="9"/>
                    <w:adjustRightInd w:val="0"/>
                    <w:snapToGrid w:val="0"/>
                    <w:spacing w:line="276" w:lineRule="auto"/>
                    <w:ind w:left="100" w:leftChars="0" w:firstLine="416" w:firstLineChars="200"/>
                    <w:jc w:val="center"/>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w:t>
                  </w:r>
                </w:p>
              </w:tc>
              <w:tc>
                <w:tcPr>
                  <w:tcW w:w="938" w:type="pct"/>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eastAsia="宋体" w:cs="宋体"/>
                      <w:b w:val="0"/>
                      <w:smallCaps w:val="0"/>
                      <w:snapToGrid w:val="0"/>
                      <w:color w:val="000000"/>
                      <w:spacing w:val="-1"/>
                      <w:sz w:val="21"/>
                      <w:szCs w:val="21"/>
                      <w:highlight w:val="none"/>
                      <w:lang w:val="en-US" w:eastAsia="zh-CN" w:bidi="ar-SA"/>
                    </w:rPr>
                    <w:t xml:space="preserve">    </w:t>
                  </w:r>
                  <w:r>
                    <w:rPr>
                      <w:rFonts w:hint="eastAsia" w:ascii="宋体" w:hAnsi="宋体" w:eastAsia="宋体" w:cs="宋体"/>
                      <w:b w:val="0"/>
                      <w:smallCaps w:val="0"/>
                      <w:snapToGrid w:val="0"/>
                      <w:color w:val="000000"/>
                      <w:spacing w:val="-1"/>
                      <w:sz w:val="21"/>
                      <w:szCs w:val="21"/>
                      <w:highlight w:val="none"/>
                      <w:lang w:val="en-US" w:eastAsia="zh-CN" w:bidi="ar-SA"/>
                    </w:rPr>
                    <w:t>猪肉丸</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8</w:t>
                  </w:r>
                </w:p>
              </w:tc>
              <w:tc>
                <w:tcPr>
                  <w:tcW w:w="938" w:type="pct"/>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牛肉丸</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14</w:t>
                  </w:r>
                </w:p>
              </w:tc>
              <w:tc>
                <w:tcPr>
                  <w:tcW w:w="677" w:type="pct"/>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鱼丸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1" w:type="pct"/>
                  <w:noWrap w:val="0"/>
                  <w:vAlign w:val="center"/>
                </w:tcPr>
                <w:p>
                  <w:pPr>
                    <w:pStyle w:val="9"/>
                    <w:adjustRightInd w:val="0"/>
                    <w:snapToGrid w:val="0"/>
                    <w:spacing w:line="276" w:lineRule="auto"/>
                    <w:ind w:left="100" w:leftChars="0" w:firstLine="416" w:firstLineChars="200"/>
                    <w:jc w:val="center"/>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3</w:t>
                  </w:r>
                </w:p>
              </w:tc>
              <w:tc>
                <w:tcPr>
                  <w:tcW w:w="938" w:type="pct"/>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猪舌</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9</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牛腩</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15</w:t>
                  </w:r>
                </w:p>
              </w:tc>
              <w:tc>
                <w:tcPr>
                  <w:tcW w:w="677" w:type="pct"/>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光鸡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pPr>
                    <w:pStyle w:val="9"/>
                    <w:adjustRightInd w:val="0"/>
                    <w:snapToGrid w:val="0"/>
                    <w:spacing w:line="276" w:lineRule="auto"/>
                    <w:ind w:left="100" w:leftChars="0" w:firstLine="416" w:firstLineChars="200"/>
                    <w:jc w:val="center"/>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4</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猪肚</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10</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牛杂</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16</w:t>
                  </w:r>
                </w:p>
              </w:tc>
              <w:tc>
                <w:tcPr>
                  <w:tcW w:w="677" w:type="pct"/>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光鹅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pPr>
                    <w:pStyle w:val="9"/>
                    <w:adjustRightInd w:val="0"/>
                    <w:snapToGrid w:val="0"/>
                    <w:spacing w:line="276" w:lineRule="auto"/>
                    <w:ind w:left="100" w:leftChars="0" w:firstLine="416" w:firstLineChars="200"/>
                    <w:jc w:val="center"/>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5</w:t>
                  </w:r>
                </w:p>
              </w:tc>
              <w:tc>
                <w:tcPr>
                  <w:tcW w:w="938" w:type="pct"/>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猪耳朵</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11</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鸭蛋</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17</w:t>
                  </w:r>
                </w:p>
              </w:tc>
              <w:tc>
                <w:tcPr>
                  <w:tcW w:w="677" w:type="pct"/>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光鸭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pPr>
                    <w:pStyle w:val="9"/>
                    <w:adjustRightInd w:val="0"/>
                    <w:snapToGrid w:val="0"/>
                    <w:spacing w:line="276" w:lineRule="auto"/>
                    <w:ind w:left="100" w:leftChars="0" w:firstLine="416" w:firstLineChars="200"/>
                    <w:jc w:val="center"/>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6</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鸡蛋</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12</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咸蛋</w:t>
                  </w:r>
                </w:p>
              </w:tc>
              <w:tc>
                <w:tcPr>
                  <w:tcW w:w="938"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18</w:t>
                  </w:r>
                </w:p>
              </w:tc>
              <w:tc>
                <w:tcPr>
                  <w:tcW w:w="677" w:type="pct"/>
                  <w:noWrap w:val="0"/>
                  <w:vAlign w:val="center"/>
                </w:tcPr>
                <w:p>
                  <w:pPr>
                    <w:pStyle w:val="9"/>
                    <w:adjustRightInd w:val="0"/>
                    <w:snapToGrid w:val="0"/>
                    <w:spacing w:line="276" w:lineRule="auto"/>
                    <w:ind w:firstLine="208" w:firstLineChars="100"/>
                    <w:jc w:val="both"/>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其他</w:t>
                  </w:r>
                </w:p>
              </w:tc>
            </w:tr>
          </w:tbl>
          <w:p>
            <w:pPr>
              <w:pStyle w:val="9"/>
              <w:adjustRightInd w:val="0"/>
              <w:snapToGrid w:val="0"/>
              <w:spacing w:line="276" w:lineRule="auto"/>
              <w:ind w:left="100" w:leftChars="0" w:firstLine="418"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（二）粮油面类（包括但不仅限于以下品种，可根据实际情况增减品种）</w:t>
            </w:r>
          </w:p>
          <w:tbl>
            <w:tblPr>
              <w:tblStyle w:val="6"/>
              <w:tblW w:w="7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420"/>
              <w:gridCol w:w="1420"/>
              <w:gridCol w:w="1420"/>
              <w:gridCol w:w="1141"/>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141"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124"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大米</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4</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河粉</w:t>
                  </w:r>
                </w:p>
              </w:tc>
              <w:tc>
                <w:tcPr>
                  <w:tcW w:w="114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7</w:t>
                  </w:r>
                </w:p>
              </w:tc>
              <w:tc>
                <w:tcPr>
                  <w:tcW w:w="1124"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调和油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粳米</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5</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米粉</w:t>
                  </w:r>
                </w:p>
              </w:tc>
              <w:tc>
                <w:tcPr>
                  <w:tcW w:w="114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8</w:t>
                  </w:r>
                </w:p>
              </w:tc>
              <w:tc>
                <w:tcPr>
                  <w:tcW w:w="1124"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花生油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3</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面条</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6</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面粉</w:t>
                  </w:r>
                </w:p>
              </w:tc>
              <w:tc>
                <w:tcPr>
                  <w:tcW w:w="114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9</w:t>
                  </w:r>
                </w:p>
              </w:tc>
              <w:tc>
                <w:tcPr>
                  <w:tcW w:w="1124"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其他</w:t>
                  </w:r>
                </w:p>
              </w:tc>
            </w:tr>
          </w:tbl>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（三）瓜果蔬菜类（包括但不仅限于以下品种，可根据季节变化增减品种）</w:t>
            </w:r>
          </w:p>
          <w:tbl>
            <w:tblPr>
              <w:tblStyle w:val="6"/>
              <w:tblW w:w="7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420"/>
              <w:gridCol w:w="1420"/>
              <w:gridCol w:w="1420"/>
              <w:gridCol w:w="1421"/>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421"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969"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通心菜</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10</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土豆</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19</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菠菜</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11</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西红柿</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20</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榨菜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3</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小白菜</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12</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萝卜</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21</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南瓜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4</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菜心</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13</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白瓜</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22</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浦瓜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5</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芥菜</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14</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青瓜</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23</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生菜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6</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油麦菜</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15</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茄子</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24</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大白菜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7</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包菜</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16</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菜花</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25</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芹菜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8</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豆芽</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17</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辣椒</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26</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蒜米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9</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韭菜</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18</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生姜</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27</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其他</w:t>
                  </w:r>
                </w:p>
              </w:tc>
            </w:tr>
          </w:tbl>
          <w:p>
            <w:pPr>
              <w:pStyle w:val="9"/>
              <w:adjustRightInd w:val="0"/>
              <w:snapToGrid w:val="0"/>
              <w:spacing w:line="276" w:lineRule="auto"/>
              <w:ind w:left="100" w:leftChars="0" w:firstLine="418"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（四）冻品类（包括但不仅限于以下品种，可根据实际情况增减品种）</w:t>
            </w:r>
          </w:p>
          <w:tbl>
            <w:tblPr>
              <w:tblStyle w:val="6"/>
              <w:tblW w:w="7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420"/>
              <w:gridCol w:w="1420"/>
              <w:gridCol w:w="1420"/>
              <w:gridCol w:w="1421"/>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421"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969"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w:t>
                  </w:r>
                </w:p>
              </w:tc>
              <w:tc>
                <w:tcPr>
                  <w:tcW w:w="1420"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冻鸡胸肉</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4</w:t>
                  </w:r>
                </w:p>
              </w:tc>
              <w:tc>
                <w:tcPr>
                  <w:tcW w:w="1420"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冻花肉</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7</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冻海鲜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w:t>
                  </w:r>
                </w:p>
              </w:tc>
              <w:tc>
                <w:tcPr>
                  <w:tcW w:w="1420"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冻鸡翅</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5</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冻鱼</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8</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冻鸡肾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3</w:t>
                  </w:r>
                </w:p>
              </w:tc>
              <w:tc>
                <w:tcPr>
                  <w:tcW w:w="1420"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冻鸭胸肉</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6</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冻排骨</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9</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其他</w:t>
                  </w:r>
                </w:p>
              </w:tc>
            </w:tr>
          </w:tbl>
          <w:p>
            <w:pPr>
              <w:pStyle w:val="9"/>
              <w:adjustRightInd w:val="0"/>
              <w:snapToGrid w:val="0"/>
              <w:spacing w:line="276" w:lineRule="auto"/>
              <w:ind w:left="100" w:leftChars="0" w:firstLine="418" w:firstLineChars="200"/>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（五）干货和腊味类</w:t>
            </w:r>
          </w:p>
          <w:tbl>
            <w:tblPr>
              <w:tblStyle w:val="6"/>
              <w:tblW w:w="7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420"/>
              <w:gridCol w:w="1420"/>
              <w:gridCol w:w="1420"/>
              <w:gridCol w:w="1421"/>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421"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969"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花生米</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7</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茨实</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13</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干香菇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胡椒粉</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8</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菜干</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14</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3</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陈皮</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9</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干木耳</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15</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支竹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4</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腊肠</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10</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干海带</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16</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腊肉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5</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眉豆</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11</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干腐皮</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17</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薏米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6</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咸鱼</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12</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干墨鱼</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18</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其他</w:t>
                  </w:r>
                </w:p>
              </w:tc>
            </w:tr>
          </w:tbl>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（六）调味品和配料类（包括但不仅限于以下品种，可根据实际情况增减品种）</w:t>
            </w:r>
          </w:p>
          <w:tbl>
            <w:tblPr>
              <w:tblStyle w:val="6"/>
              <w:tblW w:w="7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420"/>
              <w:gridCol w:w="1420"/>
              <w:gridCol w:w="1420"/>
              <w:gridCol w:w="1421"/>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420"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1421" w:type="dxa"/>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969" w:type="dxa"/>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生抽</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7</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柱候酱</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13</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碘盐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老抽</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8</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沙糖</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14</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味精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3</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卤水汁</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9</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醋</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15</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酸梅酱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4</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腐乳</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10</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辣椒酱</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16</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番茄汁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5</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麻油</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11</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蚝油</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17</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鸡精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9"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6</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料酒</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12</w:t>
                  </w:r>
                </w:p>
              </w:tc>
              <w:tc>
                <w:tcPr>
                  <w:tcW w:w="1420"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生粉</w:t>
                  </w:r>
                </w:p>
              </w:tc>
              <w:tc>
                <w:tcPr>
                  <w:tcW w:w="1421" w:type="dxa"/>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18</w:t>
                  </w:r>
                </w:p>
              </w:tc>
              <w:tc>
                <w:tcPr>
                  <w:tcW w:w="969" w:type="dxa"/>
                  <w:noWrap w:val="0"/>
                  <w:vAlign w:val="center"/>
                </w:tcPr>
                <w:p>
                  <w:pPr>
                    <w:pStyle w:val="9"/>
                    <w:adjustRightInd w:val="0"/>
                    <w:snapToGrid w:val="0"/>
                    <w:spacing w:line="276" w:lineRule="auto"/>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其他</w:t>
                  </w:r>
                </w:p>
              </w:tc>
            </w:tr>
          </w:tbl>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水果（包括但不仅限于以下品种，可根据季节变化增减品种）</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9"/>
              <w:gridCol w:w="1379"/>
              <w:gridCol w:w="1334"/>
              <w:gridCol w:w="1609"/>
              <w:gridCol w:w="1335"/>
              <w:gridCol w:w="1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902" w:type="pct"/>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872" w:type="pct"/>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1052" w:type="pct"/>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c>
                <w:tcPr>
                  <w:tcW w:w="873" w:type="pct"/>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序号</w:t>
                  </w:r>
                </w:p>
              </w:tc>
              <w:tc>
                <w:tcPr>
                  <w:tcW w:w="873" w:type="pct"/>
                  <w:noWrap w:val="0"/>
                  <w:vAlign w:val="center"/>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红苹果</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12</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红肉火龙果</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23</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香梨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红富士</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13</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甜橙</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24</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红香梨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3</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加力果</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14</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芒果</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25</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水晶梨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4</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香蕉</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15</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沃柑</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26</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鸭梨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5</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红圣果</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16</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奇异果</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27</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布林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6</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皇冠梨</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17</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山竹</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28</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李子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7</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桃驳李</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18</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脐橙</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29</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油桃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8</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芦柑</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19</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锦橙</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30</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蜜柚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9</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广柑</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20</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沙田柚</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31</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西柚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firstLine="416" w:firstLineChars="200"/>
                    <w:jc w:val="both"/>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10</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西瓜</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21</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香瓜</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pct"/>
                  <w:noWrap w:val="0"/>
                  <w:vAlign w:val="center"/>
                </w:tcPr>
                <w:p>
                  <w:pPr>
                    <w:pStyle w:val="9"/>
                    <w:adjustRightInd w:val="0"/>
                    <w:snapToGrid w:val="0"/>
                    <w:spacing w:line="276" w:lineRule="auto"/>
                    <w:ind w:firstLine="416" w:firstLineChars="200"/>
                    <w:jc w:val="both"/>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11</w:t>
                  </w:r>
                </w:p>
              </w:tc>
              <w:tc>
                <w:tcPr>
                  <w:tcW w:w="90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哈密瓜</w:t>
                  </w:r>
                </w:p>
              </w:tc>
              <w:tc>
                <w:tcPr>
                  <w:tcW w:w="87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22</w:t>
                  </w:r>
                </w:p>
              </w:tc>
              <w:tc>
                <w:tcPr>
                  <w:tcW w:w="1052"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r>
                    <w:rPr>
                      <w:rFonts w:hint="eastAsia" w:ascii="宋体" w:hAnsi="宋体" w:eastAsia="宋体" w:cs="宋体"/>
                      <w:b w:val="0"/>
                      <w:smallCaps w:val="0"/>
                      <w:snapToGrid w:val="0"/>
                      <w:color w:val="000000"/>
                      <w:spacing w:val="-1"/>
                      <w:sz w:val="21"/>
                      <w:szCs w:val="21"/>
                      <w:highlight w:val="none"/>
                      <w:lang w:val="en-US" w:eastAsia="zh-CN" w:bidi="ar-SA"/>
                    </w:rPr>
                    <w:t>葡萄、提子</w:t>
                  </w: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p>
              </w:tc>
              <w:tc>
                <w:tcPr>
                  <w:tcW w:w="873" w:type="pct"/>
                  <w:noWrap w:val="0"/>
                  <w:vAlign w:val="center"/>
                </w:tcPr>
                <w:p>
                  <w:pPr>
                    <w:pStyle w:val="9"/>
                    <w:adjustRightInd w:val="0"/>
                    <w:snapToGrid w:val="0"/>
                    <w:spacing w:line="276" w:lineRule="auto"/>
                    <w:ind w:left="100" w:leftChars="0" w:firstLine="416" w:firstLineChars="200"/>
                    <w:jc w:val="right"/>
                    <w:rPr>
                      <w:rFonts w:hint="eastAsia" w:ascii="宋体" w:hAnsi="宋体" w:eastAsia="宋体" w:cs="宋体"/>
                      <w:b w:val="0"/>
                      <w:smallCaps w:val="0"/>
                      <w:snapToGrid w:val="0"/>
                      <w:color w:val="000000"/>
                      <w:spacing w:val="-1"/>
                      <w:sz w:val="21"/>
                      <w:szCs w:val="21"/>
                      <w:highlight w:val="none"/>
                      <w:lang w:val="en-US" w:eastAsia="zh-CN" w:bidi="ar-SA"/>
                    </w:rPr>
                  </w:pPr>
                </w:p>
              </w:tc>
            </w:tr>
          </w:tbl>
          <w:p>
            <w:pPr>
              <w:pStyle w:val="9"/>
              <w:adjustRightInd w:val="0"/>
              <w:snapToGrid w:val="0"/>
              <w:spacing w:line="276" w:lineRule="auto"/>
              <w:rPr>
                <w:rFonts w:hint="eastAsia"/>
                <w:b w:val="0"/>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8" w:hRule="atLeast"/>
        </w:trPr>
        <w:tc>
          <w:tcPr>
            <w:tcW w:w="306" w:type="pct"/>
            <w:vAlign w:val="center"/>
          </w:tcPr>
          <w:p>
            <w:pPr>
              <w:pStyle w:val="9"/>
              <w:spacing w:before="60" w:line="379" w:lineRule="auto"/>
              <w:ind w:left="130" w:leftChars="0" w:right="140" w:rightChars="0"/>
              <w:jc w:val="center"/>
              <w:rPr>
                <w:color w:val="auto"/>
                <w:sz w:val="24"/>
                <w:szCs w:val="24"/>
                <w:highlight w:val="none"/>
              </w:rPr>
            </w:pPr>
          </w:p>
        </w:tc>
        <w:tc>
          <w:tcPr>
            <w:tcW w:w="243" w:type="pct"/>
            <w:vAlign w:val="center"/>
          </w:tcPr>
          <w:p>
            <w:pPr>
              <w:pStyle w:val="9"/>
              <w:adjustRightInd w:val="0"/>
              <w:snapToGrid w:val="0"/>
              <w:spacing w:line="276" w:lineRule="auto"/>
              <w:rPr>
                <w:rFonts w:hint="default" w:ascii="宋体" w:hAnsi="宋体" w:eastAsia="宋体" w:cs="宋体"/>
                <w:b/>
                <w:bCs/>
                <w:smallCaps w:val="0"/>
                <w:snapToGrid w:val="0"/>
                <w:color w:val="000000"/>
                <w:spacing w:val="-1"/>
                <w:sz w:val="21"/>
                <w:szCs w:val="21"/>
                <w:highlight w:val="none"/>
                <w:lang w:val="en-US" w:eastAsia="zh-CN" w:bidi="ar-SA"/>
              </w:rPr>
            </w:pPr>
            <w:r>
              <w:rPr>
                <w:rFonts w:hint="eastAsia" w:eastAsia="宋体" w:cs="宋体"/>
                <w:b/>
                <w:bCs/>
                <w:smallCaps w:val="0"/>
                <w:snapToGrid w:val="0"/>
                <w:color w:val="000000"/>
                <w:spacing w:val="-1"/>
                <w:sz w:val="21"/>
                <w:szCs w:val="21"/>
                <w:highlight w:val="none"/>
                <w:lang w:val="en-US" w:eastAsia="zh-CN" w:bidi="ar-SA"/>
              </w:rPr>
              <w:t>5.</w:t>
            </w:r>
          </w:p>
        </w:tc>
        <w:tc>
          <w:tcPr>
            <w:tcW w:w="4449" w:type="pct"/>
            <w:vAlign w:val="top"/>
          </w:tcPr>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具体要求</w:t>
            </w:r>
          </w:p>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（一）蛋肉类</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1.肉类供应情况要求</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鸡、鸭、鹅等禽类：投标人配送的家禽类渠道来源正规可溯，以大型养殖场品牌产品为佳，禽类的表皮光滑，新鲜肥嫩，无内脏，眼球饱满或平坦，皮肤有光泽，根据品种的不同而呈现出家禽原有的自然颜色，肌肉切面有光泽，表皮微湿润，不粘手。</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鸡、鸭、鹅的存活期限分别不少于60 天、100 天、100 天；活鸡、鸭、鹅的重量分别不低于3斤、4斤、8斤；鸡须为阉鸡，俗称熟鸡，线鸡、扇鸡（骟鸡）、剦鸡、献鸡、镦鸡。</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5"/>
              <w:gridCol w:w="6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品名</w:t>
                  </w:r>
                </w:p>
              </w:tc>
              <w:tc>
                <w:tcPr>
                  <w:tcW w:w="42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质量标准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鸡</w:t>
                  </w:r>
                </w:p>
              </w:tc>
              <w:tc>
                <w:tcPr>
                  <w:tcW w:w="42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整鸡表皮光滑而有光泽、新鲜肥嫩，有头颈，有腿翅， 无内脏，鸡肉的眼球饱满或平坦，皮肤有光泽，在品种不同而呈黄、浅黄、淡红、灰白等色，切面有光泽，外表微湿润，不粘手，无内脏，肚内无血水。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鸭、鹅</w:t>
                  </w:r>
                </w:p>
              </w:tc>
              <w:tc>
                <w:tcPr>
                  <w:tcW w:w="42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表皮光滑、新鲜肥嫩，有头颈，有腿翅，无内脏，鸭、鹅肉的眼球饱满或平坦，皮肤有光泽，在品种不同而呈黄、浅黄、淡红、灰白等色，切面有泽，外表微湿润，不粘手，无内脏，肚内无血水。</w:t>
                  </w:r>
                </w:p>
              </w:tc>
            </w:tr>
          </w:tbl>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猪、牛、羊等肉类：投标人配送的猪肉、牛肉、羊肉等渠道来源正规可溯，以大型养殖场品牌产品为佳，肉类来源于项目所在地正规肉联厂，肉呈均匀的红色，有光泽，肉质紧密，有坚实感，肉的表面及切面微湿润，不粘手，脂肪洁白。</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6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品名</w:t>
                  </w:r>
                </w:p>
              </w:tc>
              <w:tc>
                <w:tcPr>
                  <w:tcW w:w="42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质量标准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五花肉</w:t>
                  </w:r>
                </w:p>
              </w:tc>
              <w:tc>
                <w:tcPr>
                  <w:tcW w:w="42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肥瘦比例3:7（三线肉），肉呈均匀的红色，有光泽，肉质紧密富有弹性，有坚实感，用手指按压凹后立即复原；肉的外表及切面微湿，不粘手，脂肪洁白，肉汁透明。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7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瘦肉</w:t>
                  </w:r>
                </w:p>
              </w:tc>
              <w:tc>
                <w:tcPr>
                  <w:tcW w:w="42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基本为瘦肉，无肥肉，骨腱少。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上肉</w:t>
                  </w:r>
                </w:p>
              </w:tc>
              <w:tc>
                <w:tcPr>
                  <w:tcW w:w="42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肉呈均匀的红色，有光泽，肉质紧密，有坚实感；肉的外表及切面微湿，不粘手，脂肪洁白无霉点。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排骨</w:t>
                  </w:r>
                </w:p>
              </w:tc>
              <w:tc>
                <w:tcPr>
                  <w:tcW w:w="42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带肉的排骨，不带头尾，不带肥油，厚实，完整，不得剔降，骨肉不分离。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筒骨</w:t>
                  </w:r>
                </w:p>
              </w:tc>
              <w:tc>
                <w:tcPr>
                  <w:tcW w:w="42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腿骨，圆管形、浅黄骨髓充满全部管状骨腔，带部分肌肉、干净。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脊骨</w:t>
                  </w:r>
                </w:p>
              </w:tc>
              <w:tc>
                <w:tcPr>
                  <w:tcW w:w="42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剔除了里脊肉的脊椎骨，色泽肉红，不带皮，不带油。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鲜牛肉</w:t>
                  </w:r>
                </w:p>
              </w:tc>
              <w:tc>
                <w:tcPr>
                  <w:tcW w:w="42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肉色深红、肉质有弹性、指压陷部分立刻恢复，切面有光具有浓郁的牛肉气味，脂肪白色或乳白色，无寄生虫，无注水。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2"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鲜羊肉</w:t>
                  </w:r>
                </w:p>
              </w:tc>
              <w:tc>
                <w:tcPr>
                  <w:tcW w:w="423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肉色为均匀的红色、有光泽、有弹性、外表微干、不粘手、肉皮为白至浅灰白色、无注水。</w:t>
                  </w:r>
                </w:p>
              </w:tc>
            </w:tr>
          </w:tbl>
          <w:p>
            <w:pPr>
              <w:pStyle w:val="9"/>
              <w:adjustRightInd w:val="0"/>
              <w:snapToGrid w:val="0"/>
              <w:spacing w:line="276" w:lineRule="auto"/>
              <w:ind w:left="100" w:leftChars="0" w:firstLine="418"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鲜鱼：鱼体健康，体态均称，游动活泼，体色鲜明，体表光滑，眼睛亮丽，鳞片鳍条完好。</w:t>
            </w:r>
          </w:p>
          <w:tbl>
            <w:tblPr>
              <w:tblStyle w:val="6"/>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20"/>
              <w:gridCol w:w="12"/>
              <w:gridCol w:w="3680"/>
              <w:gridCol w:w="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名称</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大罗非</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脆肉鲩</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不低于10斤/条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大海鲩</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大鲩鱼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不低于4.5斤/条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桂花鱼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不低于1.2斤/条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白鲫鱼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加工花鲛鱼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加工黄花鱼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加工黑鲳</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加工红衫鱼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 xml:space="preserve">           加工金线红衫鱼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加工马友鱼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加工软骨鲜</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加工三须鱼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加工泥猛鱼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加工牛尾鱼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不低于4两/条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盐水大黄鱼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龙鳕鱼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不低于5KG/箱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加工八爪鱼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不低于8只/斤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加工墨鱼仔</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不低于40只/斤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加工黄鳝</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加工白花鱼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海鲫鱼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不低于1.5斤/条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大鳊鱼</w:t>
                  </w:r>
                </w:p>
              </w:tc>
              <w:tc>
                <w:tcPr>
                  <w:tcW w:w="2425"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不低于2斤/条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jc w:val="center"/>
              </w:trPr>
              <w:tc>
                <w:tcPr>
                  <w:tcW w:w="256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多宝鱼</w:t>
                  </w:r>
                </w:p>
              </w:tc>
              <w:tc>
                <w:tcPr>
                  <w:tcW w:w="241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不低于1.2斤/条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jc w:val="center"/>
              </w:trPr>
              <w:tc>
                <w:tcPr>
                  <w:tcW w:w="256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大鲈鱼</w:t>
                  </w:r>
                </w:p>
              </w:tc>
              <w:tc>
                <w:tcPr>
                  <w:tcW w:w="241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不低于2.3斤/条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jc w:val="center"/>
              </w:trPr>
              <w:tc>
                <w:tcPr>
                  <w:tcW w:w="256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红立鱼</w:t>
                  </w:r>
                </w:p>
              </w:tc>
              <w:tc>
                <w:tcPr>
                  <w:tcW w:w="241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不低于8两/条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jc w:val="center"/>
              </w:trPr>
              <w:tc>
                <w:tcPr>
                  <w:tcW w:w="256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大白鳝</w:t>
                  </w:r>
                </w:p>
              </w:tc>
              <w:tc>
                <w:tcPr>
                  <w:tcW w:w="241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不低于1.5斤/条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jc w:val="center"/>
              </w:trPr>
              <w:tc>
                <w:tcPr>
                  <w:tcW w:w="256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大边鱼</w:t>
                  </w:r>
                </w:p>
              </w:tc>
              <w:tc>
                <w:tcPr>
                  <w:tcW w:w="241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不低于1.5斤/条</w:t>
                  </w:r>
                </w:p>
              </w:tc>
            </w:tr>
          </w:tbl>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虾类：游水快、头尾完整、有一定弯曲度，肉质坚实，虾壳发亮，呈青绿色或青白色。</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33"/>
              <w:gridCol w:w="3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名称</w:t>
                  </w:r>
                </w:p>
              </w:tc>
              <w:tc>
                <w:tcPr>
                  <w:tcW w:w="242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罗氏虾</w:t>
                  </w:r>
                </w:p>
              </w:tc>
              <w:tc>
                <w:tcPr>
                  <w:tcW w:w="242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不低于10头/斤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沙虾/明虾</w:t>
                  </w:r>
                </w:p>
              </w:tc>
              <w:tc>
                <w:tcPr>
                  <w:tcW w:w="242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不低于20头/斤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九节虾</w:t>
                  </w:r>
                </w:p>
              </w:tc>
              <w:tc>
                <w:tcPr>
                  <w:tcW w:w="242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不低于10头/斤</w:t>
                  </w:r>
                </w:p>
              </w:tc>
            </w:tr>
          </w:tbl>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（5）贝类：肉质新鲜、无臭味、肥壮，在静水中会伸出触角，表面清洁完整、无寄生物、外观完美、有光泽。</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（6）其他蛋肉类食材供应按相关行业标准和感官标准执行。</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所供货物应保持较好的外观和质量等级，符合国家食品部门的有关标准，保证无异味、无霉烂变质，肉类保证来源于正规肉联厂，供货时需提交肉联厂的验收单及当批次有效的动物检疫合格证复印件，鲜肉确保每日新鲜，冷冻肉要求肉体冻实而坚硬，无化冻现象，肉质紧密而有弹性，色泽均匀，不粘手，交货时干净、新鲜、无异味，冷冻鱼类要求鱼眼睛清亮，角膜透明，鳞片上覆有冻结的透明黏液层，皮肤天然色泽明显。</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3.所有货物规格须符合采购人提交的日采购计划或日订单中明确的具体需求。</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4.水（海）产食品有害、有毒物质最高限量要求如下：</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1"/>
              <w:gridCol w:w="3620"/>
              <w:gridCol w:w="3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序号</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项目</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总汞，mg/kg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≤0.03,其中甲基汞≤0.3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砷</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按GB/T 23372-2009执行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3</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铅，mg/kg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4</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铜，mg/kg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5</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镉，mg/kg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6</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铬，mg/kg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7</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氟（淡水鱼），mg/kg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8</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六六六，mg/kg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9</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滴滴涕，mg/kg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10</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土霉素，mg/kg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≤0.1（肌肉）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11</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氯霉素</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不得检出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12</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磺胺类（单种），mg/kg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13</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恶喹酸（鳗鱼），mg/kg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≤0.3（肌肉+皮）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14</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呋喃唑酮</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不得检出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15</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乙烯雌酚</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不得检出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16</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多氯联苯（海产品），mg/kg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17</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腹泻性贝类毒素（DSP），ug/100g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18</w:t>
                  </w:r>
                </w:p>
              </w:tc>
              <w:tc>
                <w:tcPr>
                  <w:tcW w:w="2369"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麻痹性贝类毒素（DSP），ug/100g</w:t>
                  </w:r>
                </w:p>
              </w:tc>
              <w:tc>
                <w:tcPr>
                  <w:tcW w:w="197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≤80</w:t>
                  </w:r>
                </w:p>
              </w:tc>
            </w:tr>
          </w:tbl>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（二）粮油面类</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1.质量要求：</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（1）米、油、面粉、豆类货物需符合国家食品卫生标准，不得腐烂、变质、油脂酸败、霉变、生虫、污秽不洁、混有异物或者其他感官性状异常，并可能对人体健康有害的物质。</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米、油：要提供食品生产许可证、国家机关发出的产品检验合格证书。包装食品：包装箱完整，同时包装箱要印有注册商标、生产厂家名称、厂址、出厂日期、产品合格证、质保期限、产品成分、厂家电话号码。散装豆类：提供生产厂家营业执照、卫生许可证、国家机关发出的产品检验合格证书。中标人所提供产品质量需要符合行业标准要求，不得有掺假、变质、变味、过期等现象出现，严禁供应伪劣、假冒、无证、不合格产品。</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3）中标人在供应过程中，如果发生出现质量问题或造成食物中毒，如变质等情况，经查实后确属供应方责任，中标人应承担全部责任，主要包括食物中毒人员医疗费、误工费、事故处理费等所有费用，直至追究刑事责任。</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2.执行标准：</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（1）投标人必须承诺所供应大米、油、面粉、豆类货物必须为非转基因食材。</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（2）大米品种要求为标准一级米，不含添加剂。</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（3）米类执行标准：GB/T 1354-2018、GB 2715-2016 、GB 2763-2021。</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（4）大米的质量标准：除符合标准一级米外，要求：碎米总量≤17%（国家标准：≤35%），小碎米总量≤2%（国家标准：≤2.5%），不完善粒≤3.5%（国家标准：≤4%），黄米粒按国家标准执行。</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（5）油类执行标准：以国家最新标准为准。</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食用调和油：GB/T 1535-2017，一级大豆色拉油（不含棕榈油和非食用油）；</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花生油：GB/T 1534-2017；</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大豆油：GB/T 1535-2017；</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葵花籽油：</w:t>
            </w:r>
            <w:r>
              <w:rPr>
                <w:rFonts w:hint="eastAsia" w:ascii="宋体" w:hAnsi="宋体" w:eastAsia="宋体" w:cs="宋体"/>
                <w:b w:val="0"/>
                <w:bCs w:val="0"/>
                <w:smallCaps w:val="0"/>
                <w:snapToGrid w:val="0"/>
                <w:color w:val="000000"/>
                <w:spacing w:val="-1"/>
                <w:sz w:val="21"/>
                <w:szCs w:val="21"/>
                <w:highlight w:val="none"/>
                <w:lang w:val="en-US" w:eastAsia="zh-CN" w:bidi="ar-SA"/>
              </w:rPr>
              <w:tab/>
            </w:r>
            <w:r>
              <w:rPr>
                <w:rFonts w:hint="eastAsia" w:ascii="宋体" w:hAnsi="宋体" w:eastAsia="宋体" w:cs="宋体"/>
                <w:b w:val="0"/>
                <w:bCs w:val="0"/>
                <w:smallCaps w:val="0"/>
                <w:snapToGrid w:val="0"/>
                <w:color w:val="000000"/>
                <w:spacing w:val="-1"/>
                <w:sz w:val="21"/>
                <w:szCs w:val="21"/>
                <w:highlight w:val="none"/>
                <w:lang w:val="en-US" w:eastAsia="zh-CN" w:bidi="ar-SA"/>
              </w:rPr>
              <w:t>GB/T 10464-2017；</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棉籽油：GB/T 1537-2019；</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玉米油：GB/T 19111-2017</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油茶籽油：GB/T 11765-2018；</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米糠油：GB/T 19112-2003；</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（6）油类质量要求：</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每个食用油品必须色泽好，透明度高，无浑浊，无沉淀和悬浮物，粘度小，无分层现象，气味正常，无酸臭异味。</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严格执行国家相关质量标准及卫生安全标准，色泽、气味、霉变、真菌毒素、重金属污染物、农药等严格控制在国家标准范围内，具体范围如下：</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原粮及成品粮色泽、气味须正常。</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霉变粒不得超过2%；</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真菌毒素：黄曲霉素B1（5mg/kg~20mg/kg）、脱氧雪腐镰刀菌烯醇（≤1000mg/kg）、玉米赤霉烯酮（≤60mg/kg）、赭曲霉毒素A（≤5mg/kg）。</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重金属污染物：铅（≤0.2mg/kg）、镉（0.1mg/kg~0.2mg/kg）、汞（≤0.02mg/kg）、无机砷（0.1mg/kg~0.2mg/kg）。</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农药：不得残存超过相关标准对磷化物、马拉硫磷等140余种农药规定的最大残留量。</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7）要求根据采购人需求的食用油等级保质保量完成供货，要求提供的食用油生产厂家信誉良好，有明确的食材标签，有生产日期、质保期、质量等级，并标明初制油的加工工艺（即用浸出法生产，还是用压榨法生产的），不许以此充好、以假充真。</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（8）其他粮油面类食材按相关行业标准和感官标准执行。</w:t>
            </w:r>
          </w:p>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（三）瓜果蔬菜类</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1.质量要求及标准：</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色泽新鲜，不脱水，无腐烂，无虫害。中标人所供应的瓜果蔬菜食材必须为正规厂家的货物，来源必须清晰。蔬菜来源应产于受到地方政府部门监管的自有基地、食材菜基地或蔬菜专业流通市场，严禁收购散户农民的蔬菜供应。给采购人的瓜果蔬菜必须是优质货物，不得含有残留农药或污染物；中标人必须保证所供应的蔬菜符合我国无公害蔬菜的卫生质量标准（见下表），同时承担因所供蔬菜问题引起的一切事故后果。</w:t>
            </w:r>
          </w:p>
          <w:tbl>
            <w:tblPr>
              <w:tblStyle w:val="6"/>
              <w:tblW w:w="7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项目</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指标（mg/kg）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甲胺磷</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甲拌磷</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氧化乐果</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甲基对硫磷</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呋喃丹</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百菌清</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多菌灵</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汞（以Hg 计）</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铅（以Pb 计）</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砷（以As 计）</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氟（以F 计）</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≤0.</w:t>
                  </w:r>
                  <w:r>
                    <w:rPr>
                      <w:rFonts w:hint="eastAsia" w:ascii="宋体" w:hAnsi="宋体" w:eastAsia="宋体" w:cs="宋体"/>
                      <w:b w:val="0"/>
                      <w:bCs w:val="0"/>
                      <w:smallCaps w:val="0"/>
                      <w:snapToGrid w:val="0"/>
                      <w:color w:val="000000"/>
                      <w:spacing w:val="-1"/>
                      <w:sz w:val="21"/>
                      <w:szCs w:val="21"/>
                      <w:highlight w:val="none"/>
                      <w:lang w:val="zh-CN" w:eastAsia="zh-CN" w:bidi="ar-SA"/>
                    </w:rPr>
                    <w:c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硝酸盐（以NaNO3 计）</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瓜果类≤600；叶菜根茎类≤1200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1"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亚硝酸盐（以NaNO2 计）</w:t>
                  </w:r>
                </w:p>
              </w:tc>
              <w:tc>
                <w:tcPr>
                  <w:tcW w:w="4188" w:type="dxa"/>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≤4</w:t>
                  </w:r>
                </w:p>
              </w:tc>
            </w:tr>
          </w:tbl>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（2）蔬菜包装与标志要求：</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包装方面：容器（框、箱、袋）要求清洁、干燥、牢固、透气，无污染、无异味、无霉变现象。</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标志方面：每件包装必须按《农产品包装和标示管理办法》贴标签，并标明产地、品种、净含量、生产单位及地址和采收日期。</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（3）瓜果蔬菜具体感观要求：</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蔬菜色泽：各种蔬菜都应具有本品种固有的颜色，大多数有发亮的光泽；</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蔬菜气味：不允许有腐烂变质的亚硝酸盐味和其他异常气味；</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蔬菜滋味：因品种不同而各异，多数蔬菜滋味甘淡、甜酸、清爽鲜美，少数具有辛酸、苦涩等特殊风味以刺激食欲，如失去本品种原有的滋味即为异常；</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从蔬菜形态看：无如萎蔫、枯塌、损伤、病变、虫害侵蚀等引起的形态异常或不新鲜等蔬菜。</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（4）类别要求：</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叶菜类：大白菜、小白菜、菠菜、甘蓝、荠菜、空心菜、茼蒿、苋菜、芹菜等绿叶菜类。肉质鲜嫩形态好，色泽正常，茎基部削平，无枯黄叶、病叶、泥土、明显机械伤和病虫害伤，无烧心焦边、腐烂等现象，无抽苔（菜心除外），无畸形、异味，结球叶菜要结球适度，花椰菜应新鲜洁白，不带叶麸，无畸形花。</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茄果类：番茄、茄子、甜椒、辣椒等。果实整洁，成熟度适中；番茄花蒂不明显，无裂果及空洞现象，茄果不能有裂蒂及果皮变硬现象，无腐烂、畸形、异味，无明显机械伤。</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瓜类：黄瓜、冬瓜、丝瓜、苦瓜、南瓜、毛节瓜等。形状、色泽一致，瓜条均匀，无疤点，无断裂，无腐烂、畸形、异味、明显机械伤，不带泥土。</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根菜类：萝卜、胡萝卜等。皮细光滑，大小均匀，肉质脆嫩致密新鲜，无腐烂、畸形、裂痕、糠心、异味，不带泥沙，不带茎叶和须根。</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薯芋类：马铃薯、芋、姜等。色泽一致，不带泥沙，不带须根、茎叶，不干瘪，无腐烂、畸形、异味、明显机械伤、病虫害斑；马铃薯无发芽，皮不变绿。</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葱蒜类：葱、蒜、韭菜、洋葱等。允许葱、青蒜类保留干净须根；葱、蒜、韭菜不带老叶。蒜头、洋葱去根去枯叶；可食部分新鲜幼嫩，无腐烂、畸形、异味。</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豆类：扁豆、豌豆、毛豆等。形态完整，成熟度适中，无腐烂、畸形、异味，豆荚类新鲜、幼嫩、均匀，豆仁类籽粒饱满，较均匀，无发芽，不带泥土杂质。</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水生菜类：藕、慈菇、茭白、马蹄、菱等。肉质嫩，成熟度适中，无腐烂、畸形、异味，无明显机械伤，不带泥土和杂质，不干瘪，茭白不黑心。</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食用菌类：蘑菇、草菇、香菇、木耳等。蘑菇、草菇菌盖圆整略展开，柄粗壮，菌膜紧，菇柄切削平整，不浸泡水（蘑菇允许浸盐水保鲜）；新鲜，无杂质，无畸形菇，无腐烂、异味。</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芽苗类：绿豆芽、黄豆芽、香樁苗等。芽苗幼嫩，不带豆壳杂质，新鲜，不浸水，无腐烂、异味。</w:t>
            </w:r>
          </w:p>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zh-CN" w:eastAsia="zh-CN" w:bidi="ar-SA"/>
              </w:rPr>
            </w:pPr>
            <w:r>
              <w:rPr>
                <w:rFonts w:hint="eastAsia" w:ascii="宋体" w:hAnsi="宋体" w:eastAsia="宋体" w:cs="宋体"/>
                <w:b/>
                <w:bCs/>
                <w:smallCaps w:val="0"/>
                <w:snapToGrid w:val="0"/>
                <w:color w:val="000000"/>
                <w:spacing w:val="-1"/>
                <w:sz w:val="21"/>
                <w:szCs w:val="21"/>
                <w:highlight w:val="none"/>
                <w:lang w:val="zh-CN" w:eastAsia="zh-CN" w:bidi="ar-SA"/>
              </w:rPr>
              <w:t>（四）冻品类</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1.冻肉必须符合食品卫生要求及国家有关标准和行业规范。采购生产、经营证明文件齐备，明确来源，并具有检验合格证明。严禁含有毒有害物质、虫及混有异物，严禁有腐烂变质、酸败、霉变情况，禁止供应超过保质期限的冻肉类食材。</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2.冻肉类食材包装必须符合国家规范，供应的食材不得存放在有毒、有害的容器和承载物内。食材包装上必须使用原产地标识，应注明供应制造商名称和厂址、食材名称和重（容）量、生产日期和保质期限以及规格和食品生产许可证等内容。</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3.所有食材规格符合采购人提交的日采购计划或日订单中明确的具体需求。</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4.冷冻禽类食材解冻后净重量不少于解冻前的90</w:t>
            </w:r>
            <w:r>
              <w:rPr>
                <w:rFonts w:hint="eastAsia" w:ascii="宋体" w:hAnsi="宋体" w:eastAsia="宋体" w:cs="宋体"/>
                <w:b w:val="0"/>
                <w:bCs w:val="0"/>
                <w:smallCaps w:val="0"/>
                <w:snapToGrid w:val="0"/>
                <w:color w:val="000000"/>
                <w:spacing w:val="-1"/>
                <w:sz w:val="21"/>
                <w:szCs w:val="21"/>
                <w:highlight w:val="none"/>
                <w:lang w:val="en-US" w:eastAsia="zh-CN" w:bidi="ar-SA"/>
              </w:rPr>
              <w:t>%</w:t>
            </w:r>
            <w:r>
              <w:rPr>
                <w:rFonts w:hint="eastAsia" w:ascii="宋体" w:hAnsi="宋体" w:eastAsia="宋体" w:cs="宋体"/>
                <w:b w:val="0"/>
                <w:bCs w:val="0"/>
                <w:smallCaps w:val="0"/>
                <w:snapToGrid w:val="0"/>
                <w:color w:val="000000"/>
                <w:spacing w:val="-1"/>
                <w:sz w:val="21"/>
                <w:szCs w:val="21"/>
                <w:highlight w:val="none"/>
                <w:lang w:val="zh-CN" w:eastAsia="zh-CN" w:bidi="ar-SA"/>
              </w:rPr>
              <w:t>，冷冻肉类食材解冻后净重量不少于解冻前的92%，冷冻水产类食材解冻后净重量不少于解冻前的82%，解冻时间为4 小时以内（室温20℃）。所有冷冻食材要求清晰列出品牌、规格、类型、包装方式、包装净重、含冰量等相关参数。</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5.冰鲜鱼：滑而不粘手，气味正常，鳃盖紧闭，鳃丝紫色或紫红，鱼体肌肉有弹性，不易凹陷或凹陷迅速复平。</w:t>
            </w:r>
          </w:p>
          <w:tbl>
            <w:tblPr>
              <w:tblStyle w:val="6"/>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6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8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品名</w:t>
                  </w:r>
                </w:p>
              </w:tc>
              <w:tc>
                <w:tcPr>
                  <w:tcW w:w="401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质量标准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8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冻精肉（2#、4#）</w:t>
                  </w:r>
                </w:p>
              </w:tc>
              <w:tc>
                <w:tcPr>
                  <w:tcW w:w="401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II号肉或IV号肉，肉呈均匀的红色，有光泽，肉质紧密，有坚实感，肉的外表及切面微湿润，不粘手。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8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冻肋排</w:t>
                  </w:r>
                </w:p>
              </w:tc>
              <w:tc>
                <w:tcPr>
                  <w:tcW w:w="401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带颈骨及前五条排骨，肉体冻实而坚硬，敲之回音清脆，无化冻现象。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8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冻猪蹄</w:t>
                  </w:r>
                </w:p>
              </w:tc>
              <w:tc>
                <w:tcPr>
                  <w:tcW w:w="401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肉体冻实而坚硬，敲之回音清脆，无化冻现象。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8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冻牛肉</w:t>
                  </w:r>
                </w:p>
              </w:tc>
              <w:tc>
                <w:tcPr>
                  <w:tcW w:w="401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解冻后的肌肉呈均匀的红色，有光泽，脂肪呈白色或微黄色</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，肌肉外表微干或者风干膜，或外表湿润，但都不粘手，良质冻牛肉的肌肉结构紧密，有坚实感，肌纤维韧强。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8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冻肉制品</w:t>
                  </w:r>
                </w:p>
              </w:tc>
              <w:tc>
                <w:tcPr>
                  <w:tcW w:w="4015"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一、感官检验：</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冻品具有该商品固有的形状外观、气味和色泽不得存在异味、腐烂、发霉、变色和融化；</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商品无化冻或复冻现象，冷冻肉无血水、无化冻。</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二、包装检验：</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产品外包装完好，无污染、胀包、破损、开裂 ；</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纸箱包装需棱角分明，无潮湿；</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产品标签印刷清晰、整洁、无重影，色彩分明，标签外观平整，粘贴牢固、无皱缩或者残损等缺陷；</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保质期、生产日期清晰可见。</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三、有效期检验：</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供货时的剩余保质期不少于有效保质期的三分之二。</w:t>
                  </w:r>
                </w:p>
              </w:tc>
            </w:tr>
          </w:tbl>
          <w:p>
            <w:pPr>
              <w:pStyle w:val="9"/>
              <w:adjustRightInd w:val="0"/>
              <w:snapToGrid w:val="0"/>
              <w:spacing w:line="276" w:lineRule="auto"/>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6.水（海）产食品有害、有毒物质最高限量要求如下：</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3344"/>
              <w:gridCol w:w="3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序号</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项目</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总汞，mg/kg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≤0.03,其中甲基汞≤0.3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w:t>
                  </w:r>
                </w:p>
              </w:tc>
              <w:tc>
                <w:tcPr>
                  <w:tcW w:w="2188"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砷</w:t>
                  </w:r>
                </w:p>
              </w:tc>
              <w:tc>
                <w:tcPr>
                  <w:tcW w:w="215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按GB/T 23372-2009执行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3</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铅，mg/kg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4</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铜，mg/kg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5</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镉，mg/kg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6</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铬，mg/kg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7</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氟（淡水鱼），mg/kg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8</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六六六，mg/kg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9</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滴滴涕，mg/kg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10</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土霉素，mg/kg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≤0.1（肌肉）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11</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氯霉素</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不得检出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12</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磺胺类（单种），mg/kg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13</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恶喹酸（鳗鱼），mg/kg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≤0.3（肌肉+皮）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14</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呋喃唑酮</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不得检出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15</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乙烯雌酚</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不得检出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16</w:t>
                  </w:r>
                </w:p>
              </w:tc>
              <w:tc>
                <w:tcPr>
                  <w:tcW w:w="2188"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多氯联苯（海产品），mg/kg</w:t>
                  </w:r>
                </w:p>
              </w:tc>
              <w:tc>
                <w:tcPr>
                  <w:tcW w:w="2154" w:type="pct"/>
                  <w:noWrap w:val="0"/>
                  <w:vAlign w:val="top"/>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17</w:t>
                  </w:r>
                </w:p>
              </w:tc>
              <w:tc>
                <w:tcPr>
                  <w:tcW w:w="2188"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腹泻性贝类毒素（DSP），ug/100g</w:t>
                  </w:r>
                </w:p>
              </w:tc>
              <w:tc>
                <w:tcPr>
                  <w:tcW w:w="215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18</w:t>
                  </w:r>
                </w:p>
              </w:tc>
              <w:tc>
                <w:tcPr>
                  <w:tcW w:w="2188"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麻痹性贝类毒素（DSP），ug/100g</w:t>
                  </w:r>
                </w:p>
              </w:tc>
              <w:tc>
                <w:tcPr>
                  <w:tcW w:w="2154"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≤80</w:t>
                  </w:r>
                </w:p>
              </w:tc>
            </w:tr>
          </w:tbl>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p>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zh-CN" w:eastAsia="zh-CN" w:bidi="ar-SA"/>
              </w:rPr>
            </w:pPr>
            <w:r>
              <w:rPr>
                <w:rFonts w:hint="eastAsia" w:ascii="宋体" w:hAnsi="宋体" w:eastAsia="宋体" w:cs="宋体"/>
                <w:b/>
                <w:bCs/>
                <w:smallCaps w:val="0"/>
                <w:snapToGrid w:val="0"/>
                <w:color w:val="000000"/>
                <w:spacing w:val="-1"/>
                <w:sz w:val="21"/>
                <w:szCs w:val="21"/>
                <w:highlight w:val="none"/>
                <w:lang w:val="zh-CN" w:eastAsia="zh-CN" w:bidi="ar-SA"/>
              </w:rPr>
              <w:t>（五）干货和腊味类</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1.干货制品的质量基本标准要求符合国家相关行业标准，干爽，不霉烂、整齐、均匀、完整，无虫蛀、无杂质，保持应有的色泽。</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2.确保产品质量稳定，保证营养丰富、绿色安全、海味浓郁、易存放、食用方便，保质期长。</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3.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zh-CN" w:eastAsia="zh-CN" w:bidi="ar-SA"/>
              </w:rPr>
            </w:pPr>
            <w:r>
              <w:rPr>
                <w:rFonts w:hint="eastAsia" w:ascii="宋体" w:hAnsi="宋体" w:eastAsia="宋体" w:cs="宋体"/>
                <w:b/>
                <w:bCs/>
                <w:smallCaps w:val="0"/>
                <w:snapToGrid w:val="0"/>
                <w:color w:val="000000"/>
                <w:spacing w:val="-1"/>
                <w:sz w:val="21"/>
                <w:szCs w:val="21"/>
                <w:highlight w:val="none"/>
                <w:lang w:val="zh-CN" w:eastAsia="zh-CN" w:bidi="ar-SA"/>
              </w:rPr>
              <w:t>（六）调味品和配料类</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1.食材包装应完好无破漏，可视的内容物无腐败霉变或影响使用的变型，不存在危及人身、财产安全的不合理危险。</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2.食材应当符合国家或行业标准。</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zh-CN" w:eastAsia="zh-CN" w:bidi="ar-SA"/>
              </w:rPr>
            </w:pPr>
            <w:r>
              <w:rPr>
                <w:rFonts w:hint="eastAsia" w:ascii="宋体" w:hAnsi="宋体" w:eastAsia="宋体" w:cs="宋体"/>
                <w:b w:val="0"/>
                <w:bCs w:val="0"/>
                <w:smallCaps w:val="0"/>
                <w:snapToGrid w:val="0"/>
                <w:color w:val="000000"/>
                <w:spacing w:val="-1"/>
                <w:sz w:val="21"/>
                <w:szCs w:val="21"/>
                <w:highlight w:val="none"/>
                <w:lang w:val="zh-CN" w:eastAsia="zh-CN" w:bidi="ar-SA"/>
              </w:rPr>
              <w:t>3.食材包装标签应符合《食品安全国家标准预包装食品标签通则》（GB 7718）要求，包括食材名称、配料表、净含量、规格、生产者（或）经销者的名称、地址和联系方式、生产日期和保质期、贮存条件、食材生产许可证编号、食材标准代号等内容。</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4.供应有保质期限的食材剩余保存期时长不得少于原有保质期时长的三分之二。</w:t>
            </w:r>
          </w:p>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（七）水果类</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1.具体规格要求</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2"/>
              <w:gridCol w:w="2624"/>
              <w:gridCol w:w="40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序号</w:t>
                  </w: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项目</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红苹果</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红富士</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加力果</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香蕉</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去头，不低于3两/根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圣女果</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单果不低于10克/颗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皇冠梨</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红肉火龙果</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不低于6两/只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甜橙</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不低于4两/只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芒果</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沃柑</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奇异果</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不低于4两/个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山竹</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不低于5个/斤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香梨</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红香梨</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水晶梨</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鸭梨</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不低于2两/只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布林</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不低于2两/只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李子</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不低于20克/只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油桃</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桃驳李</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芦柑</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不低于2两/只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广柑</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不低于2两/只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脐橙</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锦橙</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不低于2两/只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沙田柚</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蜜柚</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不低于1.5斤/只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西柚</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不低于0.5斤/只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西瓜</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不低于5斤/只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哈密瓜</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不低于3斤/只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香瓜</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不低于1斤/只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1716"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葡萄、提子</w:t>
                  </w:r>
                </w:p>
              </w:tc>
              <w:tc>
                <w:tcPr>
                  <w:tcW w:w="2667"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不低于10克/颗</w:t>
                  </w:r>
                </w:p>
              </w:tc>
            </w:tr>
          </w:tbl>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2.质量标准</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5"/>
              <w:gridCol w:w="56"/>
              <w:gridCol w:w="1278"/>
              <w:gridCol w:w="135"/>
              <w:gridCol w:w="1789"/>
              <w:gridCol w:w="33"/>
              <w:gridCol w:w="1464"/>
              <w:gridCol w:w="1604"/>
              <w:gridCol w:w="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1439" w:type="pct"/>
                  <w:gridSpan w:val="3"/>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品名</w:t>
                  </w:r>
                </w:p>
              </w:tc>
              <w:tc>
                <w:tcPr>
                  <w:tcW w:w="3287" w:type="pct"/>
                  <w:gridSpan w:val="5"/>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红苹果、红富士</w:t>
                  </w:r>
                  <w:r>
                    <w:rPr>
                      <w:rFonts w:hint="eastAsia" w:ascii="宋体" w:hAnsi="宋体" w:eastAsia="宋体" w:cs="宋体"/>
                      <w:b w:val="0"/>
                      <w:bCs w:val="0"/>
                      <w:smallCaps w:val="0"/>
                      <w:snapToGrid w:val="0"/>
                      <w:color w:val="000000"/>
                      <w:spacing w:val="-1"/>
                      <w:sz w:val="21"/>
                      <w:szCs w:val="21"/>
                      <w:highlight w:val="none"/>
                      <w:lang w:val="en-US" w:eastAsia="zh-CN" w:bidi="ar-SA"/>
                    </w:rPr>
                    <w:cr/>
                  </w:r>
                  <w:r>
                    <w:rPr>
                      <w:rFonts w:hint="eastAsia" w:ascii="宋体" w:hAnsi="宋体" w:eastAsia="宋体" w:cs="宋体"/>
                      <w:b w:val="0"/>
                      <w:bCs w:val="0"/>
                      <w:smallCaps w:val="0"/>
                      <w:snapToGrid w:val="0"/>
                      <w:color w:val="000000"/>
                      <w:spacing w:val="-1"/>
                      <w:sz w:val="21"/>
                      <w:szCs w:val="21"/>
                      <w:highlight w:val="none"/>
                      <w:lang w:val="en-US" w:eastAsia="zh-CN" w:bidi="ar-SA"/>
                    </w:rPr>
                    <w:t>加力果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restar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感官要求</w:t>
                  </w: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色泽</w:t>
                  </w:r>
                </w:p>
              </w:tc>
              <w:tc>
                <w:tcPr>
                  <w:tcW w:w="3287" w:type="pct"/>
                  <w:gridSpan w:val="5"/>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浅黄绿色至深红色，有片状或条纹状颜色略深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形态</w:t>
                  </w:r>
                </w:p>
              </w:tc>
              <w:tc>
                <w:tcPr>
                  <w:tcW w:w="3287" w:type="pct"/>
                  <w:gridSpan w:val="5"/>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圆形或蒂部略大的扁圆，果蒂完整，无起皱或裂口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口感</w:t>
                  </w:r>
                </w:p>
              </w:tc>
              <w:tc>
                <w:tcPr>
                  <w:tcW w:w="3287" w:type="pct"/>
                  <w:gridSpan w:val="5"/>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汁液饱满，无苦涩味，无木栓化组织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手感</w:t>
                  </w:r>
                </w:p>
              </w:tc>
              <w:tc>
                <w:tcPr>
                  <w:tcW w:w="3287" w:type="pct"/>
                  <w:gridSpan w:val="5"/>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果身重，硬朗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劣品拒收</w:t>
                  </w:r>
                </w:p>
              </w:tc>
              <w:tc>
                <w:tcPr>
                  <w:tcW w:w="3287" w:type="pct"/>
                  <w:gridSpan w:val="5"/>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压伤、擦伤淤伤，病虫害、腐烂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1439" w:type="pct"/>
                  <w:gridSpan w:val="3"/>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品名</w:t>
                  </w:r>
                </w:p>
              </w:tc>
              <w:tc>
                <w:tcPr>
                  <w:tcW w:w="1281" w:type="pct"/>
                  <w:gridSpan w:val="3"/>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香梨、红香梨</w:t>
                  </w:r>
                </w:p>
              </w:tc>
              <w:tc>
                <w:tcPr>
                  <w:tcW w:w="200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水晶梨、鸭梨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restar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感官要求</w:t>
                  </w: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色泽</w:t>
                  </w:r>
                </w:p>
              </w:tc>
              <w:tc>
                <w:tcPr>
                  <w:tcW w:w="1281" w:type="pct"/>
                  <w:gridSpan w:val="3"/>
                  <w:noWrap w:val="0"/>
                  <w:vAlign w:val="center"/>
                </w:tcPr>
                <w:p>
                  <w:pPr>
                    <w:pStyle w:val="9"/>
                    <w:adjustRightInd w:val="0"/>
                    <w:snapToGrid w:val="0"/>
                    <w:spacing w:line="276" w:lineRule="auto"/>
                    <w:ind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鹅黄色或草绿</w:t>
                  </w:r>
                </w:p>
                <w:p>
                  <w:pPr>
                    <w:pStyle w:val="9"/>
                    <w:adjustRightInd w:val="0"/>
                    <w:snapToGrid w:val="0"/>
                    <w:spacing w:line="276" w:lineRule="auto"/>
                    <w:ind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色，顶部略红</w:t>
                  </w:r>
                </w:p>
              </w:tc>
              <w:tc>
                <w:tcPr>
                  <w:tcW w:w="200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浅黄色至嫩黄色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形态</w:t>
                  </w:r>
                </w:p>
              </w:tc>
              <w:tc>
                <w:tcPr>
                  <w:tcW w:w="1281" w:type="pct"/>
                  <w:gridSpan w:val="3"/>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倒卵形</w:t>
                  </w:r>
                </w:p>
              </w:tc>
              <w:tc>
                <w:tcPr>
                  <w:tcW w:w="2006" w:type="pct"/>
                  <w:gridSpan w:val="2"/>
                  <w:noWrap w:val="0"/>
                  <w:vAlign w:val="center"/>
                </w:tcPr>
                <w:p>
                  <w:pPr>
                    <w:pStyle w:val="9"/>
                    <w:adjustRightInd w:val="0"/>
                    <w:snapToGrid w:val="0"/>
                    <w:spacing w:line="276" w:lineRule="auto"/>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圆形，鸭梨果柄处与异形凸起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口感</w:t>
                  </w:r>
                </w:p>
              </w:tc>
              <w:tc>
                <w:tcPr>
                  <w:tcW w:w="1281" w:type="pct"/>
                  <w:gridSpan w:val="3"/>
                  <w:noWrap w:val="0"/>
                  <w:vAlign w:val="center"/>
                </w:tcPr>
                <w:p>
                  <w:pPr>
                    <w:pStyle w:val="9"/>
                    <w:adjustRightInd w:val="0"/>
                    <w:snapToGrid w:val="0"/>
                    <w:spacing w:line="276" w:lineRule="auto"/>
                    <w:ind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皮薄、柔细、爽甜多汁</w:t>
                  </w:r>
                </w:p>
              </w:tc>
              <w:tc>
                <w:tcPr>
                  <w:tcW w:w="200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皮薄清甜多汁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手感</w:t>
                  </w:r>
                </w:p>
              </w:tc>
              <w:tc>
                <w:tcPr>
                  <w:tcW w:w="1281" w:type="pct"/>
                  <w:gridSpan w:val="3"/>
                  <w:noWrap w:val="0"/>
                  <w:vAlign w:val="center"/>
                </w:tcPr>
                <w:p>
                  <w:pPr>
                    <w:pStyle w:val="9"/>
                    <w:adjustRightInd w:val="0"/>
                    <w:snapToGrid w:val="0"/>
                    <w:spacing w:line="276" w:lineRule="auto"/>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果皮较光滑细腻</w:t>
                  </w:r>
                </w:p>
              </w:tc>
              <w:tc>
                <w:tcPr>
                  <w:tcW w:w="200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果皮较光滑细腻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劣品拒收</w:t>
                  </w:r>
                </w:p>
              </w:tc>
              <w:tc>
                <w:tcPr>
                  <w:tcW w:w="3287" w:type="pct"/>
                  <w:gridSpan w:val="5"/>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果品变软及失去光泽，压伤、擦伤、淤伤，失水</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皱皮、梨心变黑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1439" w:type="pct"/>
                  <w:gridSpan w:val="3"/>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品名</w:t>
                  </w:r>
                </w:p>
              </w:tc>
              <w:tc>
                <w:tcPr>
                  <w:tcW w:w="1281" w:type="pct"/>
                  <w:gridSpan w:val="3"/>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布林、李子</w:t>
                  </w:r>
                </w:p>
              </w:tc>
              <w:tc>
                <w:tcPr>
                  <w:tcW w:w="200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油桃、桃驳李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restar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感官要求</w:t>
                  </w: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色泽</w:t>
                  </w:r>
                </w:p>
              </w:tc>
              <w:tc>
                <w:tcPr>
                  <w:tcW w:w="1281" w:type="pct"/>
                  <w:gridSpan w:val="3"/>
                  <w:noWrap w:val="0"/>
                  <w:vAlign w:val="center"/>
                </w:tcPr>
                <w:p>
                  <w:pPr>
                    <w:pStyle w:val="9"/>
                    <w:adjustRightInd w:val="0"/>
                    <w:snapToGrid w:val="0"/>
                    <w:spacing w:line="276" w:lineRule="auto"/>
                    <w:ind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根据品种不同为黄色、红色、深红色、褐红色等</w:t>
                  </w:r>
                </w:p>
              </w:tc>
              <w:tc>
                <w:tcPr>
                  <w:tcW w:w="200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橙红色至深红色、底部黄色、有光泽。果肉黄色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形态</w:t>
                  </w:r>
                </w:p>
              </w:tc>
              <w:tc>
                <w:tcPr>
                  <w:tcW w:w="1281" w:type="pct"/>
                  <w:gridSpan w:val="3"/>
                  <w:noWrap w:val="0"/>
                  <w:vAlign w:val="center"/>
                </w:tcPr>
                <w:p>
                  <w:pPr>
                    <w:pStyle w:val="9"/>
                    <w:adjustRightInd w:val="0"/>
                    <w:snapToGrid w:val="0"/>
                    <w:spacing w:line="276" w:lineRule="auto"/>
                    <w:ind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饱满圆形、果皮光滑，难剥离</w:t>
                  </w:r>
                </w:p>
              </w:tc>
              <w:tc>
                <w:tcPr>
                  <w:tcW w:w="200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圆形果皮光滑，难剥离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口感</w:t>
                  </w:r>
                </w:p>
              </w:tc>
              <w:tc>
                <w:tcPr>
                  <w:tcW w:w="1281" w:type="pct"/>
                  <w:gridSpan w:val="3"/>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滋味酸甜、柔</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软</w:t>
                  </w:r>
                </w:p>
              </w:tc>
              <w:tc>
                <w:tcPr>
                  <w:tcW w:w="200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口感爽脆、汁较少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手感</w:t>
                  </w:r>
                </w:p>
              </w:tc>
              <w:tc>
                <w:tcPr>
                  <w:tcW w:w="1281" w:type="pct"/>
                  <w:gridSpan w:val="3"/>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圆润结实</w:t>
                  </w:r>
                </w:p>
              </w:tc>
              <w:tc>
                <w:tcPr>
                  <w:tcW w:w="2006"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坚硬，成熟后变软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4" w:type="pct"/>
                <w:jc w:val="center"/>
              </w:trPr>
              <w:tc>
                <w:tcPr>
                  <w:tcW w:w="566" w:type="pct"/>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873" w:type="pct"/>
                  <w:gridSpan w:val="2"/>
                  <w:noWrap w:val="0"/>
                  <w:vAlign w:val="center"/>
                </w:tcPr>
                <w:p>
                  <w:pPr>
                    <w:pStyle w:val="9"/>
                    <w:adjustRightInd w:val="0"/>
                    <w:snapToGrid w:val="0"/>
                    <w:spacing w:line="276" w:lineRule="auto"/>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劣品拒收</w:t>
                  </w:r>
                </w:p>
              </w:tc>
              <w:tc>
                <w:tcPr>
                  <w:tcW w:w="3287" w:type="pct"/>
                  <w:gridSpan w:val="5"/>
                  <w:noWrap w:val="0"/>
                  <w:vAlign w:val="center"/>
                </w:tcPr>
                <w:p>
                  <w:pPr>
                    <w:pStyle w:val="9"/>
                    <w:adjustRightInd w:val="0"/>
                    <w:snapToGrid w:val="0"/>
                    <w:spacing w:line="276" w:lineRule="auto"/>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萎缩失水、过熟或无光泽腐烂机械损伤或虫害损伤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27" w:type="pct"/>
                  <w:gridSpan w:val="4"/>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品名</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芦柑、广柑</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脐橙、锦橙</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沙田柚、蜜柚、西柚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restar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感官要求</w:t>
                  </w: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色泽</w:t>
                  </w:r>
                </w:p>
              </w:tc>
              <w:tc>
                <w:tcPr>
                  <w:tcW w:w="2150" w:type="pct"/>
                  <w:gridSpan w:val="3"/>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橙色至橙红色有光泽</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黄绿色、橙色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形态</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圆形、果皮粗厚、易剥离</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圆形、果皮粗厚、易剥离</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果实大、圆形或</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梨形、果皮厚达1 cm，难剥离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口感</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果汁丰富，较</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甜</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果汁丰富，较甜</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酸甜适口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手感</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表面不平滑</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重实光滑</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重实、果皮稍粗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劣品拒收</w:t>
                  </w:r>
                </w:p>
              </w:tc>
              <w:tc>
                <w:tcPr>
                  <w:tcW w:w="3473" w:type="pct"/>
                  <w:gridSpan w:val="5"/>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皮干或爆裂,表面出现斑点或机械损伤果肉失水变</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干，外皮干硬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27" w:type="pct"/>
                  <w:gridSpan w:val="4"/>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品名</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西瓜（黑美人</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、有籽无籽西瓜）</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哈密瓜</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香瓜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restar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感官要求</w:t>
                  </w: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色泽</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黄绿色至墨绿色，有光泽，可能有条纹，果肉鲜红色</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黄色、有不规则花纹、果肉粉红色</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白色或黄色，果肉白色，表面有略浅凹槽花纹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形态</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椭圆形或圆形</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椭圆或橄榄形</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椭圆形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口感</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甜度高</w:t>
                  </w:r>
                  <w:r>
                    <w:rPr>
                      <w:rFonts w:hint="eastAsia" w:ascii="宋体" w:hAnsi="宋体" w:eastAsia="宋体" w:cs="宋体"/>
                      <w:b w:val="0"/>
                      <w:bCs w:val="0"/>
                      <w:smallCaps w:val="0"/>
                      <w:snapToGrid w:val="0"/>
                      <w:color w:val="000000"/>
                      <w:spacing w:val="-1"/>
                      <w:sz w:val="21"/>
                      <w:szCs w:val="21"/>
                      <w:highlight w:val="none"/>
                      <w:lang w:val="en-US" w:eastAsia="zh-CN" w:bidi="ar-SA"/>
                    </w:rPr>
                    <w:cr/>
                  </w:r>
                  <w:r>
                    <w:rPr>
                      <w:rFonts w:hint="eastAsia" w:ascii="宋体" w:hAnsi="宋体" w:eastAsia="宋体" w:cs="宋体"/>
                      <w:b w:val="0"/>
                      <w:bCs w:val="0"/>
                      <w:smallCaps w:val="0"/>
                      <w:snapToGrid w:val="0"/>
                      <w:color w:val="000000"/>
                      <w:spacing w:val="-1"/>
                      <w:sz w:val="21"/>
                      <w:szCs w:val="21"/>
                      <w:highlight w:val="none"/>
                      <w:lang w:val="en-US" w:eastAsia="zh-CN" w:bidi="ar-SA"/>
                    </w:rPr>
                    <w:t>水分大</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甜度高、口感爽脆</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甜度高、口感爽脆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手感</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表皮光滑、厚重</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表皮粗糙、厚实</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表皮光滑，略有弹性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03" w:type="pct"/>
                  <w:gridSpan w:val="2"/>
                  <w:vMerge w:val="continue"/>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p>
              </w:tc>
              <w:tc>
                <w:tcPr>
                  <w:tcW w:w="924"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劣品拒收</w:t>
                  </w:r>
                </w:p>
              </w:tc>
              <w:tc>
                <w:tcPr>
                  <w:tcW w:w="1171" w:type="pct"/>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爆裂、有柔软点、过熟（瓜肉深红色、口味令人不快）、过生（瓜肉粉红色、味酸</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、不甜）、发</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霉</w:t>
                  </w:r>
                </w:p>
              </w:tc>
              <w:tc>
                <w:tcPr>
                  <w:tcW w:w="979"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皮呈深色点，爆裂、萎缩及失水， 机械或虫害损伤</w:t>
                  </w:r>
                </w:p>
              </w:tc>
              <w:tc>
                <w:tcPr>
                  <w:tcW w:w="1323" w:type="pct"/>
                  <w:gridSpan w:val="2"/>
                  <w:noWrap w:val="0"/>
                  <w:vAlign w:val="center"/>
                </w:tcPr>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过度柔软，表面起皱，爆裂，萎缩及失水。机械或虫害损伤</w:t>
                  </w:r>
                </w:p>
              </w:tc>
            </w:tr>
          </w:tbl>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 xml:space="preserve">2.包装与标志要求： </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包装：容器(框、箱、袋)要求清洁、干燥、牢固、透气，无污染、无异味、无霉变现象；标志：每件包装须按《农产品包装和标识管理办法》贴标签，并标明产地、品种、净含量、生产单位及地址和采收日期。</w:t>
            </w:r>
          </w:p>
          <w:p>
            <w:pPr>
              <w:pStyle w:val="9"/>
              <w:adjustRightInd w:val="0"/>
              <w:snapToGrid w:val="0"/>
              <w:spacing w:line="276" w:lineRule="auto"/>
              <w:ind w:left="100" w:leftChars="0" w:firstLine="418"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bCs/>
                <w:smallCaps w:val="0"/>
                <w:snapToGrid w:val="0"/>
                <w:color w:val="000000"/>
                <w:spacing w:val="-1"/>
                <w:sz w:val="21"/>
                <w:szCs w:val="21"/>
                <w:highlight w:val="none"/>
                <w:lang w:val="en-US" w:eastAsia="zh-CN" w:bidi="ar-SA"/>
              </w:rPr>
              <w:t>3.供应链要求：水果来源于受政府部门监管的自有基地、食材基地或专业流通市场，严禁收购散户的水果进行供应。必须保证供应的水果符合卫生质量标准，同时承担因所供质量问题引起的一切事故后果。</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4.对水果生产商管理要求：水果种植地配有专用的农药喷洒用具及其他农用器具；水果采收后需用清洁、无污染的运输工具运抵加工地点。</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5.对水果生产商环境要求：水果种种植地周围需设有隔离网、隔离带或其他有效隔离措施，确保不受临近农田施肥和用药污染；水果种植地周围无养殖场、化工场、垃圾处理厂、医院以及污水排放管道等污染源。</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6.对水果生产商水源要求：水果种植地应有清洁无污染的灌溉水源；灌溉水井设有保护设施。灌溉水源需经检测验证符合规定要求，一年内在蔬菜种植过程对水源进行2次监测。</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7.农药要求：必须符合食品安全管理部门的规定，严禁使用违禁药物；农药的采购、保管、发放、使用必须建立记录。</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8.对水果卫生质量要求：卫生质量指标，应符合我国无公害水果的卫生指标规定。</w:t>
            </w:r>
          </w:p>
          <w:p>
            <w:pPr>
              <w:pStyle w:val="9"/>
              <w:adjustRightInd w:val="0"/>
              <w:snapToGrid w:val="0"/>
              <w:spacing w:line="276" w:lineRule="auto"/>
              <w:ind w:left="100" w:leftChars="0" w:firstLine="416" w:firstLineChars="200"/>
              <w:rPr>
                <w:rFonts w:hint="eastAsia" w:ascii="宋体" w:hAnsi="宋体" w:eastAsia="宋体" w:cs="宋体"/>
                <w:b w:val="0"/>
                <w:bCs w:val="0"/>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9.部分瓜果类产品需加工（去皮、去籽、去衣、去头尾等）为半成品进行配送。采购人如有产品初加工的需求，中标人需提供不少于2名初加工人员（具有有效健康证明），配合采购人完成所供产品的初加工工作，并承担用工责任。</w:t>
            </w:r>
          </w:p>
          <w:p>
            <w:pPr>
              <w:pStyle w:val="9"/>
              <w:adjustRightInd w:val="0"/>
              <w:snapToGrid w:val="0"/>
              <w:spacing w:line="276" w:lineRule="auto"/>
              <w:ind w:left="100" w:leftChars="0" w:firstLine="416" w:firstLineChars="200"/>
              <w:rPr>
                <w:rFonts w:hint="eastAsia" w:ascii="宋体" w:hAnsi="宋体" w:eastAsia="宋体" w:cs="宋体"/>
                <w:b/>
                <w:bCs/>
                <w:smallCaps w:val="0"/>
                <w:snapToGrid w:val="0"/>
                <w:color w:val="000000"/>
                <w:spacing w:val="-1"/>
                <w:sz w:val="21"/>
                <w:szCs w:val="21"/>
                <w:highlight w:val="none"/>
                <w:lang w:val="en-US" w:eastAsia="zh-CN" w:bidi="ar-SA"/>
              </w:rPr>
            </w:pPr>
            <w:r>
              <w:rPr>
                <w:rFonts w:hint="eastAsia" w:ascii="宋体" w:hAnsi="宋体" w:eastAsia="宋体" w:cs="宋体"/>
                <w:b w:val="0"/>
                <w:bCs w:val="0"/>
                <w:smallCaps w:val="0"/>
                <w:snapToGrid w:val="0"/>
                <w:color w:val="000000"/>
                <w:spacing w:val="-1"/>
                <w:sz w:val="21"/>
                <w:szCs w:val="21"/>
                <w:highlight w:val="none"/>
                <w:lang w:val="en-US" w:eastAsia="zh-CN" w:bidi="ar-SA"/>
              </w:rPr>
              <w:t>10.采购人与中标人可根据水果生产的季节、天气、流通市场供给情况等协商调整每周期采购计划中的品种和数量，中标人必须提供丰富多样化质量合格安全的品种供采购人选择。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8" w:hRule="atLeast"/>
        </w:trPr>
        <w:tc>
          <w:tcPr>
            <w:tcW w:w="306" w:type="pct"/>
            <w:vAlign w:val="center"/>
          </w:tcPr>
          <w:p>
            <w:pPr>
              <w:pStyle w:val="9"/>
              <w:spacing w:before="60" w:line="379" w:lineRule="auto"/>
              <w:ind w:left="130" w:leftChars="0" w:right="140" w:rightChars="0"/>
              <w:jc w:val="center"/>
              <w:rPr>
                <w:b/>
                <w:bCs w:val="0"/>
                <w:color w:val="auto"/>
                <w:sz w:val="21"/>
                <w:szCs w:val="21"/>
                <w:highlight w:val="none"/>
              </w:rPr>
            </w:pPr>
          </w:p>
        </w:tc>
        <w:tc>
          <w:tcPr>
            <w:tcW w:w="243" w:type="pct"/>
            <w:vAlign w:val="center"/>
          </w:tcPr>
          <w:p>
            <w:pPr>
              <w:pStyle w:val="9"/>
              <w:numPr>
                <w:ilvl w:val="0"/>
                <w:numId w:val="0"/>
              </w:numPr>
              <w:spacing w:before="60" w:line="379" w:lineRule="auto"/>
              <w:ind w:leftChars="0" w:right="140" w:rightChars="0"/>
              <w:jc w:val="both"/>
              <w:rPr>
                <w:rFonts w:hint="default" w:ascii="宋体" w:hAnsi="宋体" w:eastAsia="宋体" w:cs="宋体"/>
                <w:b/>
                <w:bCs w:val="0"/>
                <w:smallCaps w:val="0"/>
                <w:snapToGrid w:val="0"/>
                <w:color w:val="000000"/>
                <w:spacing w:val="-1"/>
                <w:sz w:val="21"/>
                <w:szCs w:val="21"/>
                <w:highlight w:val="none"/>
                <w:lang w:val="en-US" w:eastAsia="zh-CN" w:bidi="ar-SA"/>
              </w:rPr>
            </w:pPr>
            <w:r>
              <w:rPr>
                <w:rFonts w:hint="eastAsia" w:eastAsia="宋体" w:cs="宋体"/>
                <w:b/>
                <w:bCs w:val="0"/>
                <w:smallCaps w:val="0"/>
                <w:snapToGrid w:val="0"/>
                <w:color w:val="000000"/>
                <w:spacing w:val="-1"/>
                <w:sz w:val="21"/>
                <w:szCs w:val="21"/>
                <w:highlight w:val="none"/>
                <w:lang w:val="en-US" w:eastAsia="zh-CN" w:bidi="ar-SA"/>
              </w:rPr>
              <w:t>6.</w:t>
            </w:r>
          </w:p>
        </w:tc>
        <w:tc>
          <w:tcPr>
            <w:tcW w:w="4449" w:type="pct"/>
            <w:vAlign w:val="top"/>
          </w:tcPr>
          <w:p>
            <w:pPr>
              <w:autoSpaceDE w:val="0"/>
              <w:autoSpaceDN w:val="0"/>
              <w:adjustRightInd w:val="0"/>
              <w:spacing w:line="360" w:lineRule="auto"/>
              <w:rPr>
                <w:rFonts w:ascii="宋体" w:hAnsi="宋体" w:cs="宋体"/>
                <w:b/>
                <w:smallCaps/>
                <w:color w:val="auto"/>
                <w:sz w:val="21"/>
                <w:szCs w:val="21"/>
                <w:highlight w:val="none"/>
                <w:lang w:val="zh-CN" w:bidi="zh-CN"/>
              </w:rPr>
            </w:pPr>
            <w:r>
              <w:rPr>
                <w:rFonts w:hint="eastAsia" w:ascii="宋体" w:hAnsi="宋体" w:cs="宋体"/>
                <w:b/>
                <w:smallCaps/>
                <w:color w:val="auto"/>
                <w:sz w:val="21"/>
                <w:szCs w:val="21"/>
                <w:highlight w:val="none"/>
                <w:lang w:val="zh-CN" w:bidi="zh-CN"/>
              </w:rPr>
              <w:t>食材退换</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一）凡要求中标人提供检验检疫合格证而未能提供，或食材质量未达到要求,如假冒伪劣、以次充好、变质、发霉、过期等,采购人均可拒收和要求重新补货。如中标人所供食材规格未能完全符合要求或货不对板的，</w:t>
            </w:r>
            <w:r>
              <w:rPr>
                <w:rFonts w:hint="eastAsia" w:ascii="宋体" w:hAnsi="宋体" w:cs="宋体"/>
                <w:smallCaps/>
                <w:color w:val="auto"/>
                <w:sz w:val="21"/>
                <w:szCs w:val="21"/>
                <w:highlight w:val="none"/>
                <w:lang w:val="en-US" w:bidi="zh-CN"/>
              </w:rPr>
              <w:t>偏差率30%或以下</w:t>
            </w:r>
            <w:r>
              <w:rPr>
                <w:rFonts w:hint="eastAsia" w:ascii="宋体" w:hAnsi="宋体" w:cs="宋体"/>
                <w:smallCaps/>
                <w:color w:val="auto"/>
                <w:sz w:val="21"/>
                <w:szCs w:val="21"/>
                <w:highlight w:val="none"/>
                <w:lang w:val="zh-CN" w:bidi="zh-CN"/>
              </w:rPr>
              <w:t>,采购人有权拒收,但经中标人请求,采购人在不影响饮食卫生标准的情况下同意接收的,采购人有权对该食材按原价的50%支付货款。</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二）一经发现中标人供应以下对人体健康有害的食材,除全部退货外,由此造成的经济损失及法律责任由中标人承担,性质严重的,视为中标人虚假承诺，采购人将相关问题依程序报采购主管部门处理，取消中标人供货资格，并追究相关责任。</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1.腐败变质、霉变、生虫、污秽不洁、感官性状异常的；</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2.含有毒有害物质或被有害物质污染；</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3.致病性寄生虫、微生物含量超过国家限定标准的；</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4.未经动物检疫部门检疫、检验或检验检疫不合格的肉类及其制品；</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5.病死、毒死或者死因不明的禽畜等及其制品；</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6.掺假、掺杂、以次充好；</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7.用非食品原料加工或加入非食品化学物质的。</w:t>
            </w:r>
          </w:p>
          <w:p>
            <w:pPr>
              <w:autoSpaceDE w:val="0"/>
              <w:autoSpaceDN w:val="0"/>
              <w:adjustRightInd w:val="0"/>
              <w:spacing w:line="360" w:lineRule="auto"/>
              <w:ind w:firstLine="360" w:firstLineChars="0"/>
              <w:rPr>
                <w:rFonts w:hint="eastAsia" w:ascii="宋体" w:hAnsi="宋体" w:eastAsia="宋体" w:cs="宋体"/>
                <w:b w:val="0"/>
                <w:bCs/>
                <w:smallCaps w:val="0"/>
                <w:snapToGrid w:val="0"/>
                <w:color w:val="000000"/>
                <w:spacing w:val="-1"/>
                <w:sz w:val="21"/>
                <w:szCs w:val="21"/>
                <w:highlight w:val="none"/>
                <w:lang w:val="en-US" w:eastAsia="zh-CN" w:bidi="ar-SA"/>
              </w:rPr>
            </w:pPr>
            <w:r>
              <w:rPr>
                <w:rFonts w:hint="eastAsia" w:ascii="宋体" w:hAnsi="宋体" w:cs="宋体"/>
                <w:smallCaps/>
                <w:color w:val="auto"/>
                <w:sz w:val="21"/>
                <w:szCs w:val="21"/>
                <w:highlight w:val="none"/>
                <w:lang w:val="zh-CN" w:bidi="zh-CN"/>
              </w:rPr>
              <w:t>（三）采购人在使用中标人提供的食材中，发现中标人的食材不符合合同约定的要求或不符合国家食品质量、卫生安全标准的，采购人在24小时内通知中标人的人员到场进行确认，对食材进行封存，并在24小时内送国家检测部门进行检测。经检测食材不符合国家相关质量、安全卫生标准的，检测费用由中标人承担，采购人有权退货或解除合同，中标人承担合同不能履行的违约责任，并赔偿采购人的经济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8" w:hRule="atLeast"/>
        </w:trPr>
        <w:tc>
          <w:tcPr>
            <w:tcW w:w="306" w:type="pct"/>
            <w:vAlign w:val="center"/>
          </w:tcPr>
          <w:p>
            <w:pPr>
              <w:pStyle w:val="9"/>
              <w:spacing w:before="60" w:line="379" w:lineRule="auto"/>
              <w:ind w:left="130" w:leftChars="0" w:right="140" w:rightChars="0"/>
              <w:jc w:val="center"/>
              <w:rPr>
                <w:b w:val="0"/>
                <w:bCs/>
                <w:color w:val="auto"/>
                <w:sz w:val="21"/>
                <w:szCs w:val="21"/>
                <w:highlight w:val="none"/>
              </w:rPr>
            </w:pPr>
          </w:p>
        </w:tc>
        <w:tc>
          <w:tcPr>
            <w:tcW w:w="243" w:type="pct"/>
            <w:vAlign w:val="center"/>
          </w:tcPr>
          <w:p>
            <w:pPr>
              <w:pStyle w:val="9"/>
              <w:numPr>
                <w:ilvl w:val="0"/>
                <w:numId w:val="0"/>
              </w:numPr>
              <w:spacing w:before="60" w:line="379" w:lineRule="auto"/>
              <w:ind w:leftChars="0" w:right="140" w:rightChars="0"/>
              <w:jc w:val="both"/>
              <w:rPr>
                <w:rFonts w:hint="default" w:ascii="宋体" w:hAnsi="宋体" w:eastAsia="宋体" w:cs="宋体"/>
                <w:b/>
                <w:bCs w:val="0"/>
                <w:smallCaps w:val="0"/>
                <w:snapToGrid w:val="0"/>
                <w:color w:val="000000"/>
                <w:spacing w:val="-1"/>
                <w:sz w:val="21"/>
                <w:szCs w:val="21"/>
                <w:highlight w:val="none"/>
                <w:lang w:val="en-US" w:eastAsia="zh-CN" w:bidi="ar-SA"/>
              </w:rPr>
            </w:pPr>
            <w:r>
              <w:rPr>
                <w:rFonts w:hint="eastAsia" w:eastAsia="宋体" w:cs="宋体"/>
                <w:b/>
                <w:bCs w:val="0"/>
                <w:smallCaps w:val="0"/>
                <w:snapToGrid w:val="0"/>
                <w:color w:val="000000"/>
                <w:spacing w:val="-1"/>
                <w:sz w:val="21"/>
                <w:szCs w:val="21"/>
                <w:highlight w:val="none"/>
                <w:lang w:val="en-US" w:eastAsia="zh-CN" w:bidi="ar-SA"/>
              </w:rPr>
              <w:t>7.</w:t>
            </w:r>
          </w:p>
        </w:tc>
        <w:tc>
          <w:tcPr>
            <w:tcW w:w="4449" w:type="pct"/>
            <w:vAlign w:val="top"/>
          </w:tcPr>
          <w:p>
            <w:pPr>
              <w:autoSpaceDE w:val="0"/>
              <w:autoSpaceDN w:val="0"/>
              <w:adjustRightInd w:val="0"/>
              <w:spacing w:line="360" w:lineRule="auto"/>
              <w:rPr>
                <w:rFonts w:ascii="宋体" w:hAnsi="宋体" w:cs="宋体"/>
                <w:b/>
                <w:smallCaps/>
                <w:color w:val="auto"/>
                <w:sz w:val="21"/>
                <w:szCs w:val="21"/>
                <w:highlight w:val="none"/>
                <w:lang w:val="zh-CN" w:bidi="zh-CN"/>
              </w:rPr>
            </w:pPr>
            <w:r>
              <w:rPr>
                <w:rFonts w:hint="eastAsia" w:ascii="宋体" w:hAnsi="宋体" w:cs="宋体"/>
                <w:b/>
                <w:smallCaps/>
                <w:color w:val="auto"/>
                <w:sz w:val="21"/>
                <w:szCs w:val="21"/>
                <w:highlight w:val="none"/>
                <w:lang w:val="zh-CN" w:bidi="zh-CN"/>
              </w:rPr>
              <w:t>数量要求</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（一）中标人所送食材的数量和品种应与采购人订货数量和品种一致，并以采购人的验货数量和品种为准。</w:t>
            </w:r>
          </w:p>
          <w:p>
            <w:pPr>
              <w:autoSpaceDE w:val="0"/>
              <w:autoSpaceDN w:val="0"/>
              <w:adjustRightInd w:val="0"/>
              <w:spacing w:line="360" w:lineRule="auto"/>
              <w:ind w:firstLine="360"/>
              <w:rPr>
                <w:rFonts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（二）当采购人所订食材在市场上缺货或数量不足时，中标人应及早向采购人汇报、并商量解决办法,确保采购人正常供餐。</w:t>
            </w:r>
          </w:p>
          <w:p>
            <w:pPr>
              <w:autoSpaceDE w:val="0"/>
              <w:autoSpaceDN w:val="0"/>
              <w:adjustRightInd w:val="0"/>
              <w:spacing w:line="360" w:lineRule="auto"/>
              <w:ind w:firstLine="360" w:firstLineChars="0"/>
              <w:rPr>
                <w:rFonts w:hint="eastAsia" w:ascii="宋体" w:hAnsi="宋体" w:eastAsia="宋体" w:cs="宋体"/>
                <w:b w:val="0"/>
                <w:bCs/>
                <w:smallCaps w:val="0"/>
                <w:snapToGrid w:val="0"/>
                <w:color w:val="000000"/>
                <w:spacing w:val="-1"/>
                <w:sz w:val="21"/>
                <w:szCs w:val="21"/>
                <w:highlight w:val="none"/>
                <w:lang w:val="en-US" w:eastAsia="zh-CN" w:bidi="ar-SA"/>
              </w:rPr>
            </w:pPr>
            <w:r>
              <w:rPr>
                <w:rFonts w:hint="eastAsia" w:ascii="宋体" w:hAnsi="宋体" w:cs="宋体"/>
                <w:smallCaps/>
                <w:color w:val="auto"/>
                <w:sz w:val="21"/>
                <w:szCs w:val="21"/>
                <w:highlight w:val="none"/>
                <w:lang w:val="zh-CN" w:bidi="zh-CN"/>
              </w:rPr>
              <w:t>（三）特殊情况下，当采购人需临时增补食材时,中标人应安排专人负责,须在2小时内将所补食材送到采购人饭堂,并无条件协助采购人进行切配清洗工作,以保证采购人的按时开餐需要。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8" w:hRule="atLeast"/>
        </w:trPr>
        <w:tc>
          <w:tcPr>
            <w:tcW w:w="306" w:type="pct"/>
            <w:vAlign w:val="center"/>
          </w:tcPr>
          <w:p>
            <w:pPr>
              <w:pStyle w:val="9"/>
              <w:spacing w:before="60" w:line="379" w:lineRule="auto"/>
              <w:ind w:left="130" w:leftChars="0" w:right="140" w:rightChars="0"/>
              <w:jc w:val="center"/>
              <w:rPr>
                <w:b w:val="0"/>
                <w:bCs/>
                <w:color w:val="auto"/>
                <w:sz w:val="21"/>
                <w:szCs w:val="21"/>
                <w:highlight w:val="none"/>
              </w:rPr>
            </w:pPr>
          </w:p>
        </w:tc>
        <w:tc>
          <w:tcPr>
            <w:tcW w:w="243" w:type="pct"/>
            <w:vAlign w:val="center"/>
          </w:tcPr>
          <w:p>
            <w:pPr>
              <w:pStyle w:val="9"/>
              <w:numPr>
                <w:ilvl w:val="0"/>
                <w:numId w:val="0"/>
              </w:numPr>
              <w:spacing w:before="60" w:line="379" w:lineRule="auto"/>
              <w:ind w:leftChars="0" w:right="140" w:rightChars="0"/>
              <w:jc w:val="both"/>
              <w:rPr>
                <w:rFonts w:hint="default" w:ascii="宋体" w:hAnsi="宋体" w:eastAsia="宋体" w:cs="宋体"/>
                <w:b w:val="0"/>
                <w:bCs/>
                <w:smallCaps w:val="0"/>
                <w:snapToGrid w:val="0"/>
                <w:color w:val="000000"/>
                <w:spacing w:val="-1"/>
                <w:sz w:val="21"/>
                <w:szCs w:val="21"/>
                <w:highlight w:val="none"/>
                <w:lang w:val="en-US" w:eastAsia="zh-CN" w:bidi="ar-SA"/>
              </w:rPr>
            </w:pPr>
            <w:r>
              <w:rPr>
                <w:rFonts w:hint="eastAsia" w:eastAsia="宋体" w:cs="宋体"/>
                <w:b/>
                <w:bCs w:val="0"/>
                <w:smallCaps w:val="0"/>
                <w:snapToGrid w:val="0"/>
                <w:color w:val="000000"/>
                <w:spacing w:val="-1"/>
                <w:sz w:val="21"/>
                <w:szCs w:val="21"/>
                <w:highlight w:val="none"/>
                <w:lang w:val="en-US" w:eastAsia="zh-CN" w:bidi="ar-SA"/>
              </w:rPr>
              <w:t>8.</w:t>
            </w:r>
          </w:p>
        </w:tc>
        <w:tc>
          <w:tcPr>
            <w:tcW w:w="4449" w:type="pct"/>
            <w:vAlign w:val="top"/>
          </w:tcPr>
          <w:p>
            <w:pPr>
              <w:autoSpaceDE w:val="0"/>
              <w:autoSpaceDN w:val="0"/>
              <w:adjustRightInd w:val="0"/>
              <w:spacing w:line="360" w:lineRule="auto"/>
              <w:rPr>
                <w:rFonts w:ascii="宋体" w:hAnsi="宋体" w:cs="宋体"/>
                <w:b/>
                <w:smallCaps/>
                <w:color w:val="auto"/>
                <w:sz w:val="21"/>
                <w:szCs w:val="21"/>
                <w:highlight w:val="none"/>
                <w:lang w:val="zh-CN" w:bidi="zh-CN"/>
              </w:rPr>
            </w:pPr>
            <w:r>
              <w:rPr>
                <w:rFonts w:hint="eastAsia" w:ascii="宋体" w:hAnsi="宋体" w:cs="宋体"/>
                <w:b/>
                <w:smallCaps/>
                <w:color w:val="auto"/>
                <w:sz w:val="21"/>
                <w:szCs w:val="21"/>
                <w:highlight w:val="none"/>
                <w:lang w:val="zh-CN" w:bidi="zh-CN"/>
              </w:rPr>
              <w:t>保密要求</w:t>
            </w:r>
          </w:p>
          <w:p>
            <w:pPr>
              <w:autoSpaceDE w:val="0"/>
              <w:autoSpaceDN w:val="0"/>
              <w:adjustRightInd w:val="0"/>
              <w:spacing w:line="360" w:lineRule="auto"/>
              <w:ind w:firstLine="360" w:firstLineChars="0"/>
              <w:rPr>
                <w:rFonts w:hint="eastAsia" w:ascii="宋体" w:hAnsi="宋体" w:eastAsia="宋体" w:cs="宋体"/>
                <w:b w:val="0"/>
                <w:bCs/>
                <w:smallCaps w:val="0"/>
                <w:snapToGrid w:val="0"/>
                <w:color w:val="000000"/>
                <w:spacing w:val="-1"/>
                <w:sz w:val="21"/>
                <w:szCs w:val="21"/>
                <w:highlight w:val="none"/>
                <w:lang w:val="en-US" w:eastAsia="zh-CN" w:bidi="ar-SA"/>
              </w:rPr>
            </w:pPr>
            <w:r>
              <w:rPr>
                <w:rFonts w:hint="eastAsia" w:ascii="宋体" w:hAnsi="宋体" w:cs="宋体"/>
                <w:smallCaps/>
                <w:color w:val="auto"/>
                <w:sz w:val="21"/>
                <w:szCs w:val="21"/>
                <w:highlight w:val="none"/>
                <w:lang w:val="zh-CN" w:bidi="zh-CN"/>
              </w:rPr>
              <w:t>中标人在实施食材供货期间，不得将供货的实际数量及供货地点泄露给其他企业或者个人，中标人必须指派相对固定的人员和车辆完成食材配送服务，并需将配送人员和车辆的详细资料报采购人备案，货物配送人员必须遵纪守法、品行良好，无违法犯罪记录。如需要更换配送人员和车辆，必须事先通知采购人并将其个人及车辆资料送采购人审核，审核合格者才能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8" w:hRule="atLeast"/>
        </w:trPr>
        <w:tc>
          <w:tcPr>
            <w:tcW w:w="306" w:type="pct"/>
            <w:vAlign w:val="center"/>
          </w:tcPr>
          <w:p>
            <w:pPr>
              <w:pStyle w:val="9"/>
              <w:spacing w:before="60" w:line="379" w:lineRule="auto"/>
              <w:ind w:left="130" w:leftChars="0" w:right="140" w:rightChars="0"/>
              <w:jc w:val="center"/>
              <w:rPr>
                <w:b w:val="0"/>
                <w:bCs/>
                <w:color w:val="auto"/>
                <w:sz w:val="21"/>
                <w:szCs w:val="21"/>
                <w:highlight w:val="none"/>
              </w:rPr>
            </w:pPr>
          </w:p>
        </w:tc>
        <w:tc>
          <w:tcPr>
            <w:tcW w:w="243" w:type="pct"/>
            <w:vAlign w:val="center"/>
          </w:tcPr>
          <w:p>
            <w:pPr>
              <w:pStyle w:val="9"/>
              <w:numPr>
                <w:ilvl w:val="0"/>
                <w:numId w:val="0"/>
              </w:numPr>
              <w:spacing w:before="60" w:line="379" w:lineRule="auto"/>
              <w:ind w:leftChars="0" w:right="140" w:rightChars="0"/>
              <w:jc w:val="both"/>
              <w:rPr>
                <w:rFonts w:hint="default" w:ascii="宋体" w:hAnsi="宋体" w:eastAsia="宋体" w:cs="宋体"/>
                <w:b w:val="0"/>
                <w:bCs/>
                <w:smallCaps w:val="0"/>
                <w:snapToGrid w:val="0"/>
                <w:color w:val="000000"/>
                <w:spacing w:val="-1"/>
                <w:sz w:val="21"/>
                <w:szCs w:val="21"/>
                <w:highlight w:val="none"/>
                <w:lang w:val="en-US" w:eastAsia="zh-CN" w:bidi="ar-SA"/>
              </w:rPr>
            </w:pPr>
            <w:r>
              <w:rPr>
                <w:rFonts w:hint="eastAsia" w:eastAsia="宋体" w:cs="宋体"/>
                <w:b/>
                <w:bCs w:val="0"/>
                <w:smallCaps w:val="0"/>
                <w:snapToGrid w:val="0"/>
                <w:color w:val="000000"/>
                <w:spacing w:val="-1"/>
                <w:sz w:val="21"/>
                <w:szCs w:val="21"/>
                <w:highlight w:val="none"/>
                <w:lang w:val="en-US" w:eastAsia="zh-CN" w:bidi="ar-SA"/>
              </w:rPr>
              <w:t>9.</w:t>
            </w:r>
          </w:p>
        </w:tc>
        <w:tc>
          <w:tcPr>
            <w:tcW w:w="4449" w:type="pct"/>
            <w:vAlign w:val="top"/>
          </w:tcPr>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b/>
                <w:bCs/>
                <w:smallCaps/>
                <w:color w:val="auto"/>
                <w:sz w:val="21"/>
                <w:szCs w:val="21"/>
                <w:highlight w:val="none"/>
                <w:lang w:val="zh-CN" w:bidi="zh-CN"/>
              </w:rPr>
              <w:t>考核及处理办法</w:t>
            </w:r>
            <w:r>
              <w:rPr>
                <w:rFonts w:hint="eastAsia" w:ascii="宋体" w:hAnsi="宋体" w:cs="宋体"/>
                <w:smallCaps/>
                <w:color w:val="auto"/>
                <w:sz w:val="21"/>
                <w:szCs w:val="21"/>
                <w:highlight w:val="none"/>
                <w:lang w:val="zh-CN" w:bidi="zh-CN"/>
              </w:rPr>
              <w:t xml:space="preserve"> </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 xml:space="preserve">①考核办法：采购人每月对中标人进行考核，考核实行扣分制，即基础分100分 ，在此基础上出现各种违规行为（详见考核表）扣减一定的分值，每月得分将作为该月结算报销的依据。 </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 xml:space="preserve">②考核指标：详见附件《食材供货及配送服务月度考核表》。 </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③处理办法：每月考核得分高于90分（含）的，当月结算足额支付；每月考核得分80分（含）-90分（不含）的，当月结算款按95%支付；每月考核得分70分（含）-80分（不含）的，当月结算款按88%支付；每月考核得分60分（含）-70分（不含）的，当月结算款按80%支付； 每月考核得分低于60分（不含）的，当月结算款按（得分÷10</w:t>
            </w:r>
            <w:r>
              <w:rPr>
                <w:rFonts w:hint="eastAsia" w:ascii="宋体" w:hAnsi="宋体" w:cs="宋体"/>
                <w:smallCaps/>
                <w:color w:val="auto"/>
                <w:sz w:val="21"/>
                <w:szCs w:val="21"/>
                <w:highlight w:val="none"/>
                <w:lang w:bidi="zh-CN"/>
              </w:rPr>
              <w:t>0</w:t>
            </w:r>
            <w:r>
              <w:rPr>
                <w:rFonts w:hint="eastAsia" w:ascii="宋体" w:hAnsi="宋体" w:cs="宋体"/>
                <w:smallCaps/>
                <w:color w:val="auto"/>
                <w:sz w:val="21"/>
                <w:szCs w:val="21"/>
                <w:highlight w:val="none"/>
                <w:lang w:val="zh-CN" w:bidi="zh-CN"/>
              </w:rPr>
              <w:t>）×100%支付；连续两个月低于60分或一年累计三个月低于60分的，视为中标人违约，采购人有权单方解除合同，且有权按照本合同采购总额的10%要求中标人支付违约金，且如中标人的前述违约行为给采购人造成损失，采购人有权另行追究中标人的赔偿责任。</w:t>
            </w:r>
          </w:p>
          <w:p>
            <w:pPr>
              <w:pStyle w:val="5"/>
              <w:ind w:left="0" w:leftChars="0" w:firstLine="0" w:firstLineChars="0"/>
              <w:jc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食材供货及配送服务月度考核表</w:t>
            </w:r>
          </w:p>
          <w:tbl>
            <w:tblPr>
              <w:tblStyle w:val="6"/>
              <w:tblW w:w="5000" w:type="pct"/>
              <w:tblInd w:w="0" w:type="dxa"/>
              <w:tblLayout w:type="fixed"/>
              <w:tblCellMar>
                <w:top w:w="0" w:type="dxa"/>
                <w:left w:w="108" w:type="dxa"/>
                <w:bottom w:w="0" w:type="dxa"/>
                <w:right w:w="108" w:type="dxa"/>
              </w:tblCellMar>
            </w:tblPr>
            <w:tblGrid>
              <w:gridCol w:w="533"/>
              <w:gridCol w:w="950"/>
              <w:gridCol w:w="5120"/>
              <w:gridCol w:w="565"/>
              <w:gridCol w:w="484"/>
            </w:tblGrid>
            <w:tr>
              <w:tblPrEx>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序号</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指标</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考核要素和评估内容及其标准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分值</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得分</w:t>
                  </w:r>
                </w:p>
              </w:tc>
            </w:tr>
            <w:tr>
              <w:tblPrEx>
                <w:tblCellMar>
                  <w:top w:w="0" w:type="dxa"/>
                  <w:left w:w="108" w:type="dxa"/>
                  <w:bottom w:w="0" w:type="dxa"/>
                  <w:right w:w="108" w:type="dxa"/>
                </w:tblCellMar>
              </w:tblPrEx>
              <w:trPr>
                <w:trHeight w:val="102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准时送货</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送货均使用专用冷藏车（4-10月须开启冷藏设备，其余时间视气温情况而定），准时送达得10分；未用冷藏车或该开启冷藏设备而未开启冷藏设备发现一次扣</w:t>
                  </w:r>
                  <w:r>
                    <w:rPr>
                      <w:rStyle w:val="11"/>
                      <w:rFonts w:hint="default"/>
                      <w:color w:val="auto"/>
                      <w:sz w:val="21"/>
                      <w:szCs w:val="21"/>
                      <w:highlight w:val="none"/>
                      <w:lang w:bidi="ar"/>
                    </w:rPr>
                    <w:t>2</w:t>
                  </w:r>
                  <w:r>
                    <w:rPr>
                      <w:rStyle w:val="10"/>
                      <w:rFonts w:hint="default"/>
                      <w:color w:val="auto"/>
                      <w:sz w:val="21"/>
                      <w:szCs w:val="21"/>
                      <w:highlight w:val="none"/>
                      <w:lang w:bidi="ar"/>
                    </w:rPr>
                    <w:t>分，扣完为止，非不可抗拒情况下延误一次扣2分，扣完为止。委托其他车辆或人员代送此项不得分。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765"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服务团队</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有专门的团队服务人员，定期沟通协调</w:t>
                  </w:r>
                  <w:r>
                    <w:rPr>
                      <w:rStyle w:val="11"/>
                      <w:rFonts w:hint="default"/>
                      <w:color w:val="auto"/>
                      <w:sz w:val="21"/>
                      <w:szCs w:val="21"/>
                      <w:highlight w:val="none"/>
                      <w:lang w:bidi="ar"/>
                    </w:rPr>
                    <w:t>得</w:t>
                  </w:r>
                  <w:r>
                    <w:rPr>
                      <w:rStyle w:val="10"/>
                      <w:rFonts w:hint="default"/>
                      <w:color w:val="auto"/>
                      <w:sz w:val="21"/>
                      <w:szCs w:val="21"/>
                      <w:highlight w:val="none"/>
                      <w:lang w:bidi="ar"/>
                    </w:rPr>
                    <w:t>2分。提供配送车辆信息材料得2分。提供从业人员身份证、健康证明复印件及工作证明得4分，人车不符或人证不符发现1次扣1分。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8</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1275"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3</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服务态度</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工作人员工作认真，服务热情周到，服从采购单位饭堂内部规定，运送搬装文明得8分，工作人员野蛮运装导致原材料受损或污染的经查实1次扣1分，扣完为止。工作人员进入采购方</w:t>
                  </w:r>
                  <w:r>
                    <w:rPr>
                      <w:rStyle w:val="10"/>
                      <w:rFonts w:hint="eastAsia"/>
                      <w:color w:val="auto"/>
                      <w:sz w:val="21"/>
                      <w:szCs w:val="21"/>
                      <w:highlight w:val="none"/>
                      <w:lang w:eastAsia="zh-CN" w:bidi="ar"/>
                    </w:rPr>
                    <w:t>区域</w:t>
                  </w:r>
                  <w:r>
                    <w:rPr>
                      <w:rStyle w:val="10"/>
                      <w:rFonts w:hint="default"/>
                      <w:color w:val="auto"/>
                      <w:sz w:val="21"/>
                      <w:szCs w:val="21"/>
                      <w:highlight w:val="none"/>
                      <w:lang w:bidi="ar"/>
                    </w:rPr>
                    <w:t>不服从采购方管理，无正当理由与采购方人员争执的，经查实1次扣3分，扣完为止。工作人员现场操作需保证时效性，延误一次扣1分，扣完为止。</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8</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153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4</w:t>
                  </w:r>
                </w:p>
              </w:tc>
              <w:tc>
                <w:tcPr>
                  <w:tcW w:w="621"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保证质量</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保证商品质量，经过实验室功能检测，保证食材新鲜，场地直供，无以次（劣）充好现象，无过期或变质食品得</w:t>
                  </w:r>
                  <w:r>
                    <w:rPr>
                      <w:rFonts w:hint="eastAsia" w:ascii="宋体" w:hAnsi="宋体" w:cs="宋体"/>
                      <w:color w:val="auto"/>
                      <w:sz w:val="21"/>
                      <w:szCs w:val="21"/>
                      <w:highlight w:val="none"/>
                      <w:lang w:bidi="ar"/>
                    </w:rPr>
                    <w:t>10</w:t>
                  </w:r>
                  <w:r>
                    <w:rPr>
                      <w:rStyle w:val="10"/>
                      <w:rFonts w:hint="default"/>
                      <w:color w:val="auto"/>
                      <w:sz w:val="21"/>
                      <w:szCs w:val="21"/>
                      <w:highlight w:val="none"/>
                      <w:lang w:bidi="ar"/>
                    </w:rPr>
                    <w:t>分；发现一次假冒伪劣商品或过期商品此项不得分，并报采购方备案。所供原材料未经挑选出现腐烂、变质等现象或原材料来源不明的发生</w:t>
                  </w:r>
                  <w:r>
                    <w:rPr>
                      <w:rFonts w:hint="eastAsia" w:ascii="宋体" w:hAnsi="宋体" w:cs="宋体"/>
                      <w:color w:val="auto"/>
                      <w:sz w:val="21"/>
                      <w:szCs w:val="21"/>
                      <w:highlight w:val="none"/>
                      <w:lang w:bidi="ar"/>
                    </w:rPr>
                    <w:t>1</w:t>
                  </w:r>
                  <w:r>
                    <w:rPr>
                      <w:rStyle w:val="10"/>
                      <w:rFonts w:hint="default"/>
                      <w:color w:val="auto"/>
                      <w:sz w:val="21"/>
                      <w:szCs w:val="21"/>
                      <w:highlight w:val="none"/>
                      <w:lang w:bidi="ar"/>
                    </w:rPr>
                    <w:t>次扣</w:t>
                  </w:r>
                  <w:r>
                    <w:rPr>
                      <w:rFonts w:hint="eastAsia" w:ascii="宋体" w:hAnsi="宋体" w:cs="宋体"/>
                      <w:color w:val="auto"/>
                      <w:sz w:val="21"/>
                      <w:szCs w:val="21"/>
                      <w:highlight w:val="none"/>
                      <w:lang w:bidi="ar"/>
                    </w:rPr>
                    <w:t>2</w:t>
                  </w:r>
                  <w:r>
                    <w:rPr>
                      <w:rStyle w:val="10"/>
                      <w:rFonts w:hint="default"/>
                      <w:color w:val="auto"/>
                      <w:sz w:val="21"/>
                      <w:szCs w:val="21"/>
                      <w:highlight w:val="none"/>
                      <w:lang w:bidi="ar"/>
                    </w:rPr>
                    <w:t>分，以此类推，扣完为止。所有供应的货物的保质期绝不低于产品标注保质期的三分之一（自产品标注的生产日期算起），发现一次扣1分，扣完为止。（需注明发现时间及现场实物照片）</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51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5</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足斤足两</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送货无短斤缺两现象8分（份量短缺达到该类食材配送总量5%以上，有一次扣2分，以此类推，扣完为止）。</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8</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114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6</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工作细致</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货物配送原材料清单与实际配送无差错，未按采购方申购单配送的，一次扣1分，扣完为止；未按采购方要求每周提供各类食材的报价清单（报价清单需要涵盖所以配送食材原料），若逾期或不报价，每次扣2分，扣完为止。</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51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7</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单据清晰</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送货单（结算凭证）项目齐全，机器打印清晰，提供正规发票得4分，否则不得分。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4</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51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8</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品牌规范</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按照采购方公布的目录品牌规格采购、供货得6分。擅自更换品牌规格的发现</w:t>
                  </w:r>
                  <w:r>
                    <w:rPr>
                      <w:rFonts w:hint="eastAsia" w:ascii="宋体" w:hAnsi="宋体" w:cs="宋体"/>
                      <w:color w:val="auto"/>
                      <w:sz w:val="21"/>
                      <w:szCs w:val="21"/>
                      <w:highlight w:val="none"/>
                      <w:lang w:bidi="ar"/>
                    </w:rPr>
                    <w:t>1</w:t>
                  </w:r>
                  <w:r>
                    <w:rPr>
                      <w:rStyle w:val="10"/>
                      <w:rFonts w:hint="default"/>
                      <w:color w:val="auto"/>
                      <w:sz w:val="21"/>
                      <w:szCs w:val="21"/>
                      <w:highlight w:val="none"/>
                      <w:lang w:bidi="ar"/>
                    </w:rPr>
                    <w:t>次扣</w:t>
                  </w:r>
                  <w:r>
                    <w:rPr>
                      <w:rFonts w:hint="eastAsia" w:ascii="宋体" w:hAnsi="宋体" w:cs="宋体"/>
                      <w:color w:val="auto"/>
                      <w:sz w:val="21"/>
                      <w:szCs w:val="21"/>
                      <w:highlight w:val="none"/>
                      <w:lang w:bidi="ar"/>
                    </w:rPr>
                    <w:t>1</w:t>
                  </w:r>
                  <w:r>
                    <w:rPr>
                      <w:rStyle w:val="10"/>
                      <w:rFonts w:hint="default"/>
                      <w:color w:val="auto"/>
                      <w:sz w:val="21"/>
                      <w:szCs w:val="21"/>
                      <w:highlight w:val="none"/>
                      <w:lang w:bidi="ar"/>
                    </w:rPr>
                    <w:t>分，扣完为止。</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6</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153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9</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索证索票</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按照相关法律法规规定及监管部门要求，向采购方提供原材料的检测报告或产品合格证的得6分，每少一次扣0.5分，扣完为止；供应商应该按照采购方的要求，建立完整的各类物品追踪溯源体系，</w:t>
                  </w:r>
                  <w:r>
                    <w:rPr>
                      <w:rFonts w:hint="eastAsia" w:ascii="宋体" w:hAnsi="宋体" w:cs="宋体"/>
                      <w:color w:val="auto"/>
                      <w:sz w:val="21"/>
                      <w:szCs w:val="21"/>
                      <w:highlight w:val="none"/>
                    </w:rPr>
                    <w:t>提供实验室检测报告，</w:t>
                  </w:r>
                  <w:r>
                    <w:rPr>
                      <w:rStyle w:val="10"/>
                      <w:rFonts w:hint="default"/>
                      <w:color w:val="auto"/>
                      <w:sz w:val="21"/>
                      <w:szCs w:val="21"/>
                      <w:highlight w:val="none"/>
                      <w:lang w:bidi="ar"/>
                    </w:rPr>
                    <w:t>建立专门台账，按食品进货索证和台账登记本格式如实记录配送给采购方的各类物品，留存相关检验合格证明、资质证明、营业执照等有效资料，并可追踪溯源，采购方有权定期检查，发现问题每次扣1分，扣完为止。</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6</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765"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应急处置</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对于突发事件能够快速处置，明确专门人员应急处置机制，明确应急处置流程，细化相应岗位人员在食品安全事故应急处置中的职责，落实应急处置措施，快速反应，妥善处置，满分4分。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4</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765"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11</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结算精准</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送货单上单价、月底结算价格与采购方核定价一致，满分6分（擅自涨价，每次扣2分，以此类推，扣完为止）。每月</w:t>
                  </w:r>
                  <w:r>
                    <w:rPr>
                      <w:rStyle w:val="10"/>
                      <w:rFonts w:hint="eastAsia"/>
                      <w:color w:val="auto"/>
                      <w:sz w:val="21"/>
                      <w:szCs w:val="21"/>
                      <w:highlight w:val="none"/>
                      <w:lang w:val="en-US" w:eastAsia="zh-CN" w:bidi="ar"/>
                    </w:rPr>
                    <w:t>5</w:t>
                  </w:r>
                  <w:r>
                    <w:rPr>
                      <w:rStyle w:val="10"/>
                      <w:rFonts w:hint="default"/>
                      <w:color w:val="auto"/>
                      <w:sz w:val="21"/>
                      <w:szCs w:val="21"/>
                      <w:highlight w:val="none"/>
                      <w:lang w:bidi="ar"/>
                    </w:rPr>
                    <w:t>日前，将对账单发送至采购方，延误1天扣1分。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6</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765"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安全清洁</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运输工具、贮物筐箱、包装材料等保持清洁卫生，满分4分。（抽查到不符要求的每次扣1分，以此类推，扣完为止）。运输过程中，防止有油污血水等污染运输通道，发现一次扣2分，扣完为止。</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4</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765"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13</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沟通联系</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如目录没有采购方所需商品，事先与采购方联系并谈妥商品的品牌、品级、规格、价格等事项，然后发货4分。配送公司单方定价后再送货不得分。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4</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765"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14</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及时整改</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bidi="ar"/>
                    </w:rPr>
                    <w:t>对采购方的意见、建议虚心接受，运作过程中出现的新情况新问题及时主动沟通、协调有效果，</w:t>
                  </w:r>
                  <w:r>
                    <w:rPr>
                      <w:rFonts w:hint="eastAsia" w:ascii="宋体" w:hAnsi="宋体" w:cs="宋体"/>
                      <w:b w:val="0"/>
                      <w:bCs/>
                      <w:color w:val="auto"/>
                      <w:sz w:val="21"/>
                      <w:szCs w:val="21"/>
                      <w:highlight w:val="none"/>
                      <w:lang w:val="en-US" w:eastAsia="zh-CN" w:bidi="ar"/>
                    </w:rPr>
                    <w:t>及时整改同一月内检查的所有问题</w:t>
                  </w:r>
                  <w:r>
                    <w:rPr>
                      <w:rFonts w:hint="eastAsia" w:ascii="宋体" w:hAnsi="宋体" w:cs="宋体"/>
                      <w:color w:val="auto"/>
                      <w:sz w:val="21"/>
                      <w:szCs w:val="21"/>
                      <w:highlight w:val="none"/>
                      <w:lang w:val="en-US" w:eastAsia="zh-CN" w:bidi="ar"/>
                    </w:rPr>
                    <w:t>，见实效4分，整改效果不明显扣1分，未见整改效果不得分。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4</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51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15</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诚信经营</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21"/>
                      <w:szCs w:val="21"/>
                      <w:highlight w:val="none"/>
                    </w:rPr>
                  </w:pPr>
                  <w:r>
                    <w:rPr>
                      <w:rStyle w:val="10"/>
                      <w:rFonts w:hint="default"/>
                      <w:color w:val="auto"/>
                      <w:sz w:val="21"/>
                      <w:szCs w:val="21"/>
                      <w:highlight w:val="none"/>
                      <w:lang w:bidi="ar"/>
                    </w:rPr>
                    <w:t>不得将部分商品或采购方的部分供应权限转让或分包给他人经营4分（如有违反不得分，并考虑取消配送资格）。</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4</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51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16</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配合采购人在“国家832扶贫平台” 采购产品</w:t>
                  </w: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Style w:val="10"/>
                      <w:rFonts w:hint="default"/>
                      <w:color w:val="auto"/>
                      <w:sz w:val="21"/>
                      <w:szCs w:val="21"/>
                      <w:highlight w:val="none"/>
                      <w:lang w:bidi="ar"/>
                    </w:rPr>
                  </w:pPr>
                  <w:r>
                    <w:rPr>
                      <w:rFonts w:hint="eastAsia"/>
                      <w:bCs/>
                      <w:color w:val="auto"/>
                      <w:sz w:val="21"/>
                      <w:szCs w:val="21"/>
                      <w:highlight w:val="none"/>
                    </w:rPr>
                    <w:t>严格按照采购人要求的采购产品类别、数量、预算、采购时间等在“国家832扶贫平台”采购农副产品，结算按照“国家832扶贫平台”上公示的价格进行，当采购人提出需要在“国家832扶贫平台”采购的要求时，不存在无理由拒绝 4分（未能达到以上要求不得分）。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4</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r>
              <w:tblPrEx>
                <w:tblCellMar>
                  <w:top w:w="0" w:type="dxa"/>
                  <w:left w:w="108" w:type="dxa"/>
                  <w:bottom w:w="0" w:type="dxa"/>
                  <w:right w:w="108" w:type="dxa"/>
                </w:tblCellMar>
              </w:tblPrEx>
              <w:trPr>
                <w:trHeight w:val="76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1"/>
                      <w:szCs w:val="21"/>
                      <w:highlight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1"/>
                      <w:szCs w:val="21"/>
                      <w:highlight w:val="none"/>
                    </w:rPr>
                  </w:pPr>
                </w:p>
              </w:tc>
              <w:tc>
                <w:tcPr>
                  <w:tcW w:w="334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1"/>
                      <w:szCs w:val="21"/>
                      <w:highlight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100</w:t>
                  </w:r>
                </w:p>
              </w:tc>
              <w:tc>
                <w:tcPr>
                  <w:tcW w:w="3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1"/>
                      <w:szCs w:val="21"/>
                      <w:highlight w:val="none"/>
                    </w:rPr>
                  </w:pPr>
                </w:p>
              </w:tc>
            </w:tr>
          </w:tbl>
          <w:p>
            <w:pPr>
              <w:autoSpaceDE w:val="0"/>
              <w:autoSpaceDN w:val="0"/>
              <w:adjustRightInd w:val="0"/>
              <w:spacing w:line="360" w:lineRule="auto"/>
              <w:rPr>
                <w:rFonts w:hint="eastAsia" w:ascii="宋体" w:hAnsi="宋体" w:eastAsia="宋体" w:cs="宋体"/>
                <w:b w:val="0"/>
                <w:bCs/>
                <w:smallCaps w:val="0"/>
                <w:snapToGrid w:val="0"/>
                <w:color w:val="000000"/>
                <w:spacing w:val="-1"/>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8" w:hRule="atLeast"/>
        </w:trPr>
        <w:tc>
          <w:tcPr>
            <w:tcW w:w="306" w:type="pct"/>
            <w:vAlign w:val="center"/>
          </w:tcPr>
          <w:p>
            <w:pPr>
              <w:pStyle w:val="9"/>
              <w:spacing w:before="60" w:line="379" w:lineRule="auto"/>
              <w:ind w:left="130" w:leftChars="0" w:right="140" w:rightChars="0"/>
              <w:jc w:val="center"/>
              <w:rPr>
                <w:b w:val="0"/>
                <w:bCs/>
                <w:color w:val="auto"/>
                <w:sz w:val="21"/>
                <w:szCs w:val="21"/>
                <w:highlight w:val="none"/>
              </w:rPr>
            </w:pPr>
          </w:p>
        </w:tc>
        <w:tc>
          <w:tcPr>
            <w:tcW w:w="243" w:type="pct"/>
            <w:vAlign w:val="center"/>
          </w:tcPr>
          <w:p>
            <w:pPr>
              <w:pStyle w:val="9"/>
              <w:numPr>
                <w:ilvl w:val="0"/>
                <w:numId w:val="0"/>
              </w:numPr>
              <w:spacing w:before="60" w:line="379" w:lineRule="auto"/>
              <w:ind w:leftChars="0" w:right="140" w:rightChars="0"/>
              <w:jc w:val="both"/>
              <w:rPr>
                <w:rFonts w:hint="default" w:ascii="宋体" w:hAnsi="宋体" w:eastAsia="宋体" w:cs="宋体"/>
                <w:b w:val="0"/>
                <w:bCs/>
                <w:smallCaps w:val="0"/>
                <w:snapToGrid w:val="0"/>
                <w:color w:val="000000"/>
                <w:spacing w:val="-1"/>
                <w:sz w:val="21"/>
                <w:szCs w:val="21"/>
                <w:highlight w:val="none"/>
                <w:lang w:val="en-US" w:eastAsia="zh-CN" w:bidi="ar-SA"/>
              </w:rPr>
            </w:pPr>
            <w:r>
              <w:rPr>
                <w:rFonts w:hint="eastAsia" w:eastAsia="宋体" w:cs="宋体"/>
                <w:b/>
                <w:bCs w:val="0"/>
                <w:smallCaps w:val="0"/>
                <w:snapToGrid w:val="0"/>
                <w:color w:val="000000"/>
                <w:spacing w:val="-1"/>
                <w:sz w:val="21"/>
                <w:szCs w:val="21"/>
                <w:highlight w:val="none"/>
                <w:lang w:val="en-US" w:eastAsia="zh-CN" w:bidi="ar-SA"/>
              </w:rPr>
              <w:t>10.</w:t>
            </w:r>
          </w:p>
        </w:tc>
        <w:tc>
          <w:tcPr>
            <w:tcW w:w="4449" w:type="pct"/>
            <w:vAlign w:val="top"/>
          </w:tcPr>
          <w:p>
            <w:pPr>
              <w:autoSpaceDE w:val="0"/>
              <w:autoSpaceDN w:val="0"/>
              <w:adjustRightInd w:val="0"/>
              <w:spacing w:line="360" w:lineRule="auto"/>
              <w:rPr>
                <w:rFonts w:hint="eastAsia" w:ascii="宋体" w:hAnsi="宋体" w:cs="宋体"/>
                <w:b/>
                <w:smallCaps/>
                <w:color w:val="auto"/>
                <w:sz w:val="21"/>
                <w:szCs w:val="21"/>
                <w:highlight w:val="none"/>
                <w:lang w:val="zh-CN" w:bidi="zh-CN"/>
              </w:rPr>
            </w:pPr>
            <w:r>
              <w:rPr>
                <w:rFonts w:hint="eastAsia" w:ascii="宋体" w:hAnsi="宋体" w:cs="宋体"/>
                <w:b/>
                <w:smallCaps/>
                <w:color w:val="auto"/>
                <w:sz w:val="21"/>
                <w:szCs w:val="21"/>
                <w:highlight w:val="none"/>
                <w:lang w:val="zh-CN" w:bidi="zh-CN"/>
              </w:rPr>
              <w:t>食材管理系统（软件）具体要求如下：</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1.采购人平台架构概述</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中标人提供的食材订单管理系统软件，须能实现用户通过该系统进行食材的下单、审批、生成订单、查询报表等功能，管理员在后台进行食材的增减、单位内部用户的导入及权限设置功能等。</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2.系统功能要求</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系统分为用户端及管理后台端，中标人应在技术部分阐述：系统软件体系架构图、使用的数据库、使用的服务器产品（如有）、使用的开发语言等。</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2.1用户端功能如下：</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（1）食材查询：包含但不限于食材分类、食材关键字搜索等。</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（2）订单管理：包含但不限于订单创建、预订单、订单提交、订单生成打印、订单取消、订单查询、订单详情、报表打印。</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（3）菜篮：包含但不限于菜篮添加、删除。</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（4）订单审核：包含但不限于实现订单审核，实现多级审核，支持后台灵活自定义审核级别和审核人。功能包括通过、退回、撤回等。</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（5）报表统计：包含但不限于按局、按子单位、按产品和按任意时间段等统计报表。</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（6）收货地址管理：包含但不限于收货地址的增加、修改、删除。</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 xml:space="preserve">（7）退换货管理：食材不达标、送错食材、下错单等管理和处理。 </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（8）消息推送：通过消息推送功能，推送待办、审核结果等各个环节消息。</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9）应急流程处置：实现快速申请、快速审核、限时备货发货一系列紧急流程，且该流程需设置倒计时间提醒，中标人需在投标时承诺的紧急状态配送时间内完成，一次超时完成紧急配送系统将计算1次超时配送。</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2.2管理后台端功能如下：</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（1）食材产品管理：包含但不限于食材产品信息的增加、修改、删除、导入、导出。</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（2）角色管理：包含但不限于系统角色配置。</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（3）权限管理：包含但不限于系统权限配置。</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（4）消息管理：包含但不限于审批消息通知。</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3.系统扩展要求</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为满足系统的易于维护性和可拓展性，根据采购人对系统软件的总体规划要求，要求订单系统支持容量扩展和功能扩展开发系统。</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4.系统安全要求</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（1）保证数据的高可靠性和高可用性，保证数据高安全性和可恢复性。</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（2）要求系统具备高安全防入侵能力、防病毒能力以及数据保密性；</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（3）要求系统运行稳定性、可靠性，有完备且可实现的应急防范机制；</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（4）该软件的加密算法要采用国密算法。</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5.软件质量</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（1）系统应运行稳定，并具有较强的容错能力；</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（2）操作简单；界面表达清晰、美观；</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（3）软件功能应全面、实用，技术先进，专业性强，满足各类不同需求；</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（4）软件应具有较强用户个性化定制能力、移植能力和后续开发能力，能够容易根据用户需求进行功能组合及调整；</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（5）系统数据安全，应该能够记录系统运行时所发生的所有错误，包括本机错误和网络错误。这些错误记录便于查找错误的原因。</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（6）系统的所有功能都应该进行功能权限、部门权限的判断和控制。</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（7）系统能够对必须录入的项目进行控制，使用户能够确保信息录入的完整。</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（8）系统易于安装，易于维护，易于后期功能拓展，且合同期内不收取任何调测、开发费用。</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6.培训</w:t>
            </w:r>
          </w:p>
          <w:p>
            <w:pPr>
              <w:pStyle w:val="2"/>
              <w:ind w:firstLine="460" w:firstLineChars="20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为使系统能正常运行和使用，投标人有责任提供相应的培训。培训内容应与项目内容相一致。</w:t>
            </w:r>
          </w:p>
          <w:p>
            <w:pPr>
              <w:autoSpaceDE w:val="0"/>
              <w:autoSpaceDN w:val="0"/>
              <w:adjustRightInd w:val="0"/>
              <w:spacing w:line="360" w:lineRule="auto"/>
              <w:ind w:firstLine="360"/>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bidi="zh-CN"/>
              </w:rPr>
              <w:t>7.演示要求</w:t>
            </w:r>
          </w:p>
          <w:p>
            <w:pPr>
              <w:numPr>
                <w:ilvl w:val="0"/>
                <w:numId w:val="4"/>
              </w:numPr>
              <w:autoSpaceDE w:val="0"/>
              <w:autoSpaceDN w:val="0"/>
              <w:adjustRightInd w:val="0"/>
              <w:spacing w:line="360" w:lineRule="auto"/>
              <w:ind w:left="453" w:leftChars="0" w:hanging="453" w:firstLineChars="0"/>
              <w:rPr>
                <w:rFonts w:hint="eastAsia" w:ascii="宋体" w:hAnsi="宋体" w:cs="宋体"/>
                <w:smallCaps/>
                <w:color w:val="auto"/>
                <w:sz w:val="21"/>
                <w:szCs w:val="21"/>
                <w:highlight w:val="none"/>
                <w:lang w:bidi="zh-CN"/>
              </w:rPr>
            </w:pPr>
            <w:r>
              <w:rPr>
                <w:rFonts w:hint="eastAsia" w:ascii="宋体" w:hAnsi="宋体" w:cs="宋体"/>
                <w:smallCaps/>
                <w:color w:val="auto"/>
                <w:sz w:val="21"/>
                <w:szCs w:val="21"/>
                <w:highlight w:val="none"/>
                <w:lang w:bidi="zh-CN"/>
              </w:rPr>
              <w:t>演示人数：1人；</w:t>
            </w:r>
          </w:p>
          <w:p>
            <w:pPr>
              <w:numPr>
                <w:ilvl w:val="0"/>
                <w:numId w:val="4"/>
              </w:numPr>
              <w:autoSpaceDE w:val="0"/>
              <w:autoSpaceDN w:val="0"/>
              <w:adjustRightInd w:val="0"/>
              <w:spacing w:line="360" w:lineRule="auto"/>
              <w:ind w:left="453" w:leftChars="0" w:hanging="453" w:firstLineChars="0"/>
              <w:rPr>
                <w:rFonts w:hint="eastAsia" w:ascii="宋体" w:hAnsi="宋体" w:cs="宋体"/>
                <w:smallCaps/>
                <w:color w:val="auto"/>
                <w:sz w:val="21"/>
                <w:szCs w:val="21"/>
                <w:highlight w:val="none"/>
                <w:lang w:bidi="zh-CN"/>
              </w:rPr>
            </w:pPr>
            <w:r>
              <w:rPr>
                <w:rFonts w:hint="eastAsia" w:ascii="宋体" w:hAnsi="宋体" w:cs="宋体"/>
                <w:smallCaps/>
                <w:color w:val="auto"/>
                <w:sz w:val="21"/>
                <w:szCs w:val="21"/>
                <w:highlight w:val="none"/>
                <w:lang w:bidi="zh-CN"/>
              </w:rPr>
              <w:t>演示时间：不得超过15分钟。</w:t>
            </w:r>
          </w:p>
          <w:p>
            <w:pPr>
              <w:numPr>
                <w:ilvl w:val="0"/>
                <w:numId w:val="4"/>
              </w:numPr>
              <w:autoSpaceDE w:val="0"/>
              <w:autoSpaceDN w:val="0"/>
              <w:adjustRightInd w:val="0"/>
              <w:spacing w:line="360" w:lineRule="auto"/>
              <w:ind w:left="453" w:leftChars="0" w:hanging="453" w:firstLineChars="0"/>
              <w:rPr>
                <w:rFonts w:hint="eastAsia" w:ascii="宋体" w:hAnsi="宋体" w:cs="宋体"/>
                <w:smallCaps/>
                <w:color w:val="auto"/>
                <w:sz w:val="21"/>
                <w:szCs w:val="21"/>
                <w:highlight w:val="none"/>
                <w:lang w:bidi="zh-CN"/>
              </w:rPr>
            </w:pPr>
            <w:r>
              <w:rPr>
                <w:rFonts w:hint="eastAsia" w:ascii="宋体" w:hAnsi="宋体" w:cs="宋体"/>
                <w:smallCaps/>
                <w:color w:val="auto"/>
                <w:sz w:val="21"/>
                <w:szCs w:val="21"/>
                <w:highlight w:val="none"/>
                <w:lang w:bidi="zh-CN"/>
              </w:rPr>
              <w:t>演示设备：投影仪投标现场已具备，投标人不需另行准备，电脑等设备投标人自带，同时须考虑设备与投标现场设备的兼容性。</w:t>
            </w:r>
          </w:p>
          <w:p>
            <w:pPr>
              <w:numPr>
                <w:ilvl w:val="0"/>
                <w:numId w:val="4"/>
              </w:numPr>
              <w:autoSpaceDE w:val="0"/>
              <w:autoSpaceDN w:val="0"/>
              <w:adjustRightInd w:val="0"/>
              <w:spacing w:line="360" w:lineRule="auto"/>
              <w:ind w:left="453" w:leftChars="0" w:hanging="453" w:firstLineChars="0"/>
              <w:rPr>
                <w:rFonts w:hint="eastAsia" w:ascii="宋体" w:hAnsi="宋体" w:cs="宋体"/>
                <w:smallCaps/>
                <w:color w:val="auto"/>
                <w:sz w:val="21"/>
                <w:szCs w:val="21"/>
                <w:highlight w:val="none"/>
                <w:lang w:bidi="zh-CN"/>
              </w:rPr>
            </w:pPr>
            <w:r>
              <w:rPr>
                <w:rFonts w:hint="eastAsia" w:ascii="宋体" w:hAnsi="宋体" w:cs="宋体"/>
                <w:smallCaps/>
                <w:color w:val="auto"/>
                <w:sz w:val="21"/>
                <w:szCs w:val="21"/>
                <w:highlight w:val="none"/>
                <w:lang w:bidi="zh-CN"/>
              </w:rPr>
              <w:t>演示方式：</w:t>
            </w:r>
            <w:r>
              <w:rPr>
                <w:rFonts w:hint="eastAsia" w:ascii="宋体" w:hAnsi="宋体" w:cs="宋体"/>
                <w:smallCaps/>
                <w:color w:val="auto"/>
                <w:sz w:val="21"/>
                <w:szCs w:val="21"/>
                <w:highlight w:val="none"/>
                <w:lang w:val="en-US" w:bidi="zh-CN"/>
              </w:rPr>
              <w:t>演示方式没有限制性，投标人可根据自身情况灵活进行演示，如采用小程序、</w:t>
            </w:r>
            <w:r>
              <w:rPr>
                <w:rFonts w:hint="eastAsia" w:ascii="宋体" w:hAnsi="宋体" w:cs="宋体"/>
                <w:smallCaps/>
                <w:color w:val="auto"/>
                <w:sz w:val="21"/>
                <w:szCs w:val="21"/>
                <w:highlight w:val="none"/>
                <w:lang w:bidi="zh-CN"/>
              </w:rPr>
              <w:t>多媒体、录像、</w:t>
            </w:r>
            <w:r>
              <w:rPr>
                <w:rFonts w:hint="eastAsia" w:ascii="宋体" w:hAnsi="宋体" w:cs="宋体"/>
                <w:smallCaps/>
                <w:color w:val="auto"/>
                <w:sz w:val="21"/>
                <w:szCs w:val="21"/>
                <w:highlight w:val="none"/>
                <w:lang w:val="en-US" w:bidi="zh-CN"/>
              </w:rPr>
              <w:t>PPT</w:t>
            </w:r>
            <w:r>
              <w:rPr>
                <w:rFonts w:hint="eastAsia" w:ascii="宋体" w:hAnsi="宋体" w:cs="宋体"/>
                <w:smallCaps/>
                <w:color w:val="auto"/>
                <w:sz w:val="21"/>
                <w:szCs w:val="21"/>
                <w:highlight w:val="none"/>
                <w:lang w:bidi="zh-CN"/>
              </w:rPr>
              <w:t>、原型演示、方案讲解</w:t>
            </w:r>
            <w:r>
              <w:rPr>
                <w:rFonts w:hint="eastAsia" w:ascii="宋体" w:hAnsi="宋体" w:cs="宋体"/>
                <w:smallCaps/>
                <w:color w:val="auto"/>
                <w:sz w:val="21"/>
                <w:szCs w:val="21"/>
                <w:highlight w:val="none"/>
                <w:lang w:val="en-US" w:bidi="zh-CN"/>
              </w:rPr>
              <w:t>等方式；主要演示系统建设的架构、框架内容，系统建设详情</w:t>
            </w:r>
            <w:r>
              <w:rPr>
                <w:rFonts w:hint="eastAsia" w:ascii="宋体" w:hAnsi="宋体" w:cs="宋体"/>
                <w:smallCaps/>
                <w:color w:val="auto"/>
                <w:sz w:val="21"/>
                <w:szCs w:val="21"/>
                <w:highlight w:val="none"/>
                <w:lang w:bidi="zh-CN"/>
              </w:rPr>
              <w:t>。</w:t>
            </w:r>
          </w:p>
          <w:p>
            <w:pPr>
              <w:numPr>
                <w:ilvl w:val="0"/>
                <w:numId w:val="4"/>
              </w:numPr>
              <w:autoSpaceDE w:val="0"/>
              <w:autoSpaceDN w:val="0"/>
              <w:adjustRightInd w:val="0"/>
              <w:spacing w:line="360" w:lineRule="auto"/>
              <w:ind w:left="453" w:leftChars="0" w:hanging="453" w:firstLineChars="0"/>
              <w:rPr>
                <w:rFonts w:hint="eastAsia" w:ascii="宋体" w:hAnsi="宋体" w:cs="宋体"/>
                <w:smallCaps/>
                <w:color w:val="auto"/>
                <w:sz w:val="21"/>
                <w:szCs w:val="21"/>
                <w:highlight w:val="none"/>
                <w:lang w:bidi="zh-CN"/>
              </w:rPr>
            </w:pPr>
            <w:r>
              <w:rPr>
                <w:rFonts w:hint="eastAsia" w:ascii="宋体" w:hAnsi="宋体" w:cs="宋体"/>
                <w:smallCaps/>
                <w:color w:val="auto"/>
                <w:sz w:val="21"/>
                <w:szCs w:val="21"/>
                <w:highlight w:val="none"/>
                <w:lang w:bidi="zh-CN"/>
              </w:rPr>
              <w:t>演示顺序：按系统签到顺序。</w:t>
            </w:r>
          </w:p>
          <w:p>
            <w:pPr>
              <w:numPr>
                <w:ilvl w:val="0"/>
                <w:numId w:val="4"/>
              </w:numPr>
              <w:autoSpaceDE w:val="0"/>
              <w:autoSpaceDN w:val="0"/>
              <w:adjustRightInd w:val="0"/>
              <w:spacing w:line="360" w:lineRule="auto"/>
              <w:ind w:left="453" w:leftChars="0" w:hanging="453" w:firstLineChars="0"/>
              <w:rPr>
                <w:rFonts w:hint="eastAsia" w:ascii="宋体" w:hAnsi="宋体" w:cs="宋体"/>
                <w:smallCaps/>
                <w:color w:val="auto"/>
                <w:sz w:val="21"/>
                <w:szCs w:val="21"/>
                <w:highlight w:val="none"/>
                <w:lang w:bidi="zh-CN"/>
              </w:rPr>
            </w:pPr>
            <w:r>
              <w:rPr>
                <w:rFonts w:hint="eastAsia" w:ascii="宋体" w:hAnsi="宋体" w:cs="宋体"/>
                <w:smallCaps/>
                <w:color w:val="auto"/>
                <w:sz w:val="21"/>
                <w:szCs w:val="21"/>
                <w:highlight w:val="none"/>
                <w:lang w:bidi="zh-CN"/>
              </w:rPr>
              <w:t>演示（讲解）内容</w:t>
            </w:r>
          </w:p>
          <w:p>
            <w:pPr>
              <w:numPr>
                <w:ilvl w:val="0"/>
                <w:numId w:val="5"/>
              </w:numPr>
              <w:autoSpaceDE w:val="0"/>
              <w:autoSpaceDN w:val="0"/>
              <w:adjustRightInd w:val="0"/>
              <w:spacing w:line="360" w:lineRule="auto"/>
              <w:ind w:left="425" w:firstLine="55"/>
              <w:rPr>
                <w:rFonts w:hint="eastAsia"/>
                <w:color w:val="auto"/>
                <w:sz w:val="21"/>
                <w:szCs w:val="21"/>
                <w:highlight w:val="none"/>
                <w:lang w:val="zh-CN"/>
              </w:rPr>
            </w:pPr>
            <w:r>
              <w:rPr>
                <w:rFonts w:hint="eastAsia" w:ascii="宋体" w:hAnsi="宋体" w:cs="宋体"/>
                <w:smallCaps/>
                <w:color w:val="auto"/>
                <w:sz w:val="21"/>
                <w:szCs w:val="21"/>
                <w:highlight w:val="none"/>
                <w:lang w:bidi="zh-CN"/>
              </w:rPr>
              <w:t>投标人演示的内容不得与本项目的采购需求的内容无关。</w:t>
            </w:r>
          </w:p>
          <w:p>
            <w:pPr>
              <w:numPr>
                <w:ilvl w:val="0"/>
                <w:numId w:val="5"/>
              </w:numPr>
              <w:autoSpaceDE w:val="0"/>
              <w:autoSpaceDN w:val="0"/>
              <w:adjustRightInd w:val="0"/>
              <w:spacing w:line="360" w:lineRule="auto"/>
              <w:ind w:left="425" w:firstLine="55"/>
              <w:rPr>
                <w:rFonts w:hint="eastAsia" w:ascii="宋体" w:hAnsi="宋体" w:cs="宋体"/>
                <w:smallCaps/>
                <w:color w:val="auto"/>
                <w:sz w:val="21"/>
                <w:szCs w:val="21"/>
                <w:highlight w:val="none"/>
                <w:lang w:val="zh-CN" w:bidi="zh-CN"/>
              </w:rPr>
            </w:pPr>
            <w:r>
              <w:rPr>
                <w:rFonts w:hint="eastAsia" w:ascii="宋体" w:hAnsi="宋体" w:cs="宋体"/>
                <w:smallCaps/>
                <w:color w:val="auto"/>
                <w:sz w:val="21"/>
                <w:szCs w:val="21"/>
                <w:highlight w:val="none"/>
                <w:lang w:val="zh-CN" w:bidi="zh-CN"/>
              </w:rPr>
              <w:t>系统软件体系架构图、使用的数据库、使用的服务器产品（如有）、使用的开发语言。</w:t>
            </w:r>
          </w:p>
          <w:p>
            <w:pPr>
              <w:numPr>
                <w:ilvl w:val="0"/>
                <w:numId w:val="5"/>
              </w:numPr>
              <w:autoSpaceDE w:val="0"/>
              <w:autoSpaceDN w:val="0"/>
              <w:adjustRightInd w:val="0"/>
              <w:spacing w:line="360" w:lineRule="auto"/>
              <w:ind w:left="425" w:leftChars="0" w:firstLine="55" w:firstLineChars="0"/>
              <w:rPr>
                <w:rFonts w:hint="eastAsia" w:ascii="宋体" w:hAnsi="宋体" w:eastAsia="宋体" w:cs="宋体"/>
                <w:b w:val="0"/>
                <w:bCs/>
                <w:smallCaps w:val="0"/>
                <w:snapToGrid w:val="0"/>
                <w:color w:val="000000"/>
                <w:spacing w:val="-1"/>
                <w:sz w:val="21"/>
                <w:szCs w:val="21"/>
                <w:highlight w:val="none"/>
                <w:lang w:val="en-US" w:eastAsia="zh-CN" w:bidi="ar-SA"/>
              </w:rPr>
            </w:pPr>
            <w:r>
              <w:rPr>
                <w:rFonts w:hint="eastAsia" w:ascii="宋体" w:hAnsi="宋体" w:cs="宋体"/>
                <w:smallCaps/>
                <w:color w:val="auto"/>
                <w:sz w:val="21"/>
                <w:szCs w:val="21"/>
                <w:highlight w:val="none"/>
                <w:lang w:val="zh-CN" w:bidi="zh-CN"/>
              </w:rPr>
              <w:t>上述具体要求中关于用户端各项功能、管理后台端各项功能要求。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306" w:type="pct"/>
          </w:tcPr>
          <w:p>
            <w:pPr>
              <w:spacing w:line="360" w:lineRule="auto"/>
              <w:rPr>
                <w:rFonts w:ascii="宋体" w:hAnsi="宋体" w:eastAsia="宋体" w:cs="宋体"/>
                <w:highlight w:val="none"/>
              </w:rPr>
            </w:pPr>
          </w:p>
          <w:p>
            <w:pPr>
              <w:spacing w:line="360" w:lineRule="auto"/>
              <w:rPr>
                <w:rFonts w:ascii="宋体" w:hAnsi="宋体" w:eastAsia="宋体" w:cs="宋体"/>
                <w:highlight w:val="none"/>
              </w:rPr>
            </w:pPr>
            <w:r>
              <w:rPr>
                <w:rFonts w:hint="eastAsia" w:ascii="宋体" w:hAnsi="宋体" w:eastAsia="宋体" w:cs="宋体"/>
                <w:highlight w:val="none"/>
              </w:rPr>
              <w:t>说明</w:t>
            </w:r>
          </w:p>
        </w:tc>
        <w:tc>
          <w:tcPr>
            <w:tcW w:w="4693" w:type="pct"/>
            <w:gridSpan w:val="2"/>
          </w:tcPr>
          <w:p>
            <w:pPr>
              <w:spacing w:line="360" w:lineRule="auto"/>
              <w:rPr>
                <w:rFonts w:ascii="宋体" w:hAnsi="宋体" w:eastAsia="宋体" w:cs="宋体"/>
                <w:highlight w:val="none"/>
              </w:rPr>
            </w:pPr>
            <w:r>
              <w:rPr>
                <w:rFonts w:hint="eastAsia" w:ascii="宋体" w:hAnsi="宋体" w:eastAsia="宋体" w:cs="宋体"/>
                <w:highlight w:val="none"/>
              </w:rPr>
              <w:t>打“★”号条款为实质性条款，若有任何一条负偏离或不满足则导致投标（响应）无效。打“▲”号条款为重要技术参数（如有），若有部分“▲”条款未响应或不满足，将根据评审要求影响其得分，但不作为无效投标（响应）条款。</w:t>
            </w:r>
          </w:p>
        </w:tc>
      </w:tr>
    </w:tbl>
    <w:p>
      <w:pPr>
        <w:pStyle w:val="2"/>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51731"/>
    <w:multiLevelType w:val="singleLevel"/>
    <w:tmpl w:val="EA551731"/>
    <w:lvl w:ilvl="0" w:tentative="0">
      <w:start w:val="1"/>
      <w:numFmt w:val="chineseCounting"/>
      <w:suff w:val="nothing"/>
      <w:lvlText w:val="%1、"/>
      <w:lvlJc w:val="left"/>
      <w:rPr>
        <w:rFonts w:hint="eastAsia"/>
      </w:rPr>
    </w:lvl>
  </w:abstractNum>
  <w:abstractNum w:abstractNumId="1">
    <w:nsid w:val="FCDE152B"/>
    <w:multiLevelType w:val="singleLevel"/>
    <w:tmpl w:val="FCDE152B"/>
    <w:lvl w:ilvl="0" w:tentative="0">
      <w:start w:val="1"/>
      <w:numFmt w:val="decimal"/>
      <w:lvlText w:val="%1."/>
      <w:lvlJc w:val="left"/>
      <w:pPr>
        <w:ind w:left="425" w:hanging="425"/>
      </w:pPr>
      <w:rPr>
        <w:rFonts w:hint="default"/>
      </w:rPr>
    </w:lvl>
  </w:abstractNum>
  <w:abstractNum w:abstractNumId="2">
    <w:nsid w:val="14487335"/>
    <w:multiLevelType w:val="singleLevel"/>
    <w:tmpl w:val="14487335"/>
    <w:lvl w:ilvl="0" w:tentative="0">
      <w:start w:val="1"/>
      <w:numFmt w:val="chineseCounting"/>
      <w:suff w:val="nothing"/>
      <w:lvlText w:val="（%1）"/>
      <w:lvlJc w:val="left"/>
      <w:rPr>
        <w:rFonts w:hint="eastAsia"/>
      </w:rPr>
    </w:lvl>
  </w:abstractNum>
  <w:abstractNum w:abstractNumId="3">
    <w:nsid w:val="1C0D3E55"/>
    <w:multiLevelType w:val="singleLevel"/>
    <w:tmpl w:val="1C0D3E55"/>
    <w:lvl w:ilvl="0" w:tentative="0">
      <w:start w:val="1"/>
      <w:numFmt w:val="decimal"/>
      <w:lvlText w:val="(%1)"/>
      <w:lvlJc w:val="left"/>
      <w:pPr>
        <w:ind w:left="28" w:hanging="425"/>
      </w:pPr>
      <w:rPr>
        <w:rFonts w:hint="default"/>
      </w:rPr>
    </w:lvl>
  </w:abstractNum>
  <w:abstractNum w:abstractNumId="4">
    <w:nsid w:val="589DC604"/>
    <w:multiLevelType w:val="singleLevel"/>
    <w:tmpl w:val="589DC604"/>
    <w:lvl w:ilvl="0" w:tentative="0">
      <w:start w:val="1"/>
      <w:numFmt w:val="decimalEnclosedCircleChinese"/>
      <w:suff w:val="nothing"/>
      <w:lvlText w:val="%1　"/>
      <w:lvlJc w:val="left"/>
      <w:pPr>
        <w:ind w:left="0" w:firstLine="400"/>
      </w:pPr>
      <w:rPr>
        <w:rFonts w:hint="eastAsia" w:ascii="宋体" w:hAnsi="宋体" w:eastAsia="宋体" w:cs="宋体"/>
        <w:sz w:val="24"/>
        <w:szCs w:val="24"/>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ZjY3NmNiZjViZTNkMjA2YzdkMzA2NzhhOWQyNmUifQ=="/>
  </w:docVars>
  <w:rsids>
    <w:rsidRoot w:val="23C1518D"/>
    <w:rsid w:val="07467692"/>
    <w:rsid w:val="23C1518D"/>
    <w:rsid w:val="30D55026"/>
    <w:rsid w:val="5D010CCA"/>
    <w:rsid w:val="655B7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sz w:val="24"/>
    </w:rPr>
  </w:style>
  <w:style w:type="paragraph" w:styleId="3">
    <w:name w:val="annotation text"/>
    <w:basedOn w:val="1"/>
    <w:qFormat/>
    <w:uiPriority w:val="0"/>
  </w:style>
  <w:style w:type="paragraph" w:styleId="4">
    <w:name w:val="Body Text Indent"/>
    <w:basedOn w:val="1"/>
    <w:unhideWhenUsed/>
    <w:qFormat/>
    <w:uiPriority w:val="99"/>
    <w:pPr>
      <w:spacing w:after="120"/>
      <w:ind w:left="420" w:leftChars="200"/>
    </w:pPr>
  </w:style>
  <w:style w:type="paragraph" w:styleId="5">
    <w:name w:val="Body Text First Indent 2"/>
    <w:basedOn w:val="4"/>
    <w:unhideWhenUsed/>
    <w:qFormat/>
    <w:uiPriority w:val="99"/>
    <w:pPr>
      <w:ind w:firstLine="420" w:firstLineChars="200"/>
    </w:p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Paragraph"/>
    <w:basedOn w:val="1"/>
    <w:qFormat/>
    <w:uiPriority w:val="1"/>
    <w:pPr>
      <w:autoSpaceDE w:val="0"/>
      <w:autoSpaceDN w:val="0"/>
      <w:jc w:val="left"/>
    </w:pPr>
    <w:rPr>
      <w:rFonts w:ascii="宋体" w:hAnsi="宋体" w:cs="宋体"/>
      <w:b/>
      <w:smallCaps/>
      <w:color w:val="000000"/>
      <w:sz w:val="22"/>
      <w:szCs w:val="22"/>
      <w:lang w:val="zh-CN" w:bidi="zh-CN"/>
    </w:rPr>
  </w:style>
  <w:style w:type="character" w:customStyle="1" w:styleId="10">
    <w:name w:val="font41"/>
    <w:qFormat/>
    <w:uiPriority w:val="0"/>
    <w:rPr>
      <w:rFonts w:hint="eastAsia" w:ascii="宋体" w:hAnsi="宋体" w:eastAsia="宋体" w:cs="宋体"/>
      <w:color w:val="000000"/>
      <w:sz w:val="21"/>
      <w:szCs w:val="21"/>
      <w:u w:val="none"/>
    </w:rPr>
  </w:style>
  <w:style w:type="character" w:customStyle="1" w:styleId="11">
    <w:name w:val="font51"/>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42600</Words>
  <Characters>44656</Characters>
  <Lines>0</Lines>
  <Paragraphs>0</Paragraphs>
  <TotalTime>2</TotalTime>
  <ScaleCrop>false</ScaleCrop>
  <LinksUpToDate>false</LinksUpToDate>
  <CharactersWithSpaces>45240</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2023-03-22T10:04:00Z</dcterms:created>
  <dc:creator>文雅</dc:creator>
  <cp:lastModifiedBy>文雅</cp:lastModifiedBy>
  <dcterms:modified xsi:type="dcterms:W3CDTF">2023-03-22T13:47:29Z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24B9D917AB8F49B090981CAF4467C725_13</vt:lpwstr>
  </property>
</Properties>
</file>