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采购需求</w:t>
      </w:r>
    </w:p>
    <w:p>
      <w:pPr>
        <w:spacing w:before="65" w:line="360" w:lineRule="auto"/>
        <w:ind w:firstLine="5"/>
        <w:outlineLvl w:val="1"/>
        <w:rPr>
          <w:rFonts w:ascii="宋体" w:hAnsi="宋体" w:eastAsia="宋体" w:cs="宋体"/>
          <w:b/>
          <w:bCs/>
        </w:rPr>
      </w:pPr>
      <w:r>
        <w:rPr>
          <w:rFonts w:hint="eastAsia" w:ascii="宋体" w:hAnsi="宋体" w:eastAsia="宋体" w:cs="宋体"/>
          <w:b/>
          <w:bCs/>
          <w:spacing w:val="10"/>
        </w:rPr>
        <w:t>一、项目概况：</w:t>
      </w:r>
    </w:p>
    <w:p>
      <w:pPr>
        <w:widowControl/>
        <w:spacing w:line="360" w:lineRule="auto"/>
        <w:ind w:firstLine="440" w:firstLineChars="200"/>
        <w:jc w:val="left"/>
        <w:rPr>
          <w:rFonts w:hint="eastAsia" w:ascii="宋体" w:hAnsi="宋体" w:cs="宋体"/>
          <w:spacing w:val="5"/>
          <w:szCs w:val="21"/>
        </w:rPr>
      </w:pPr>
      <w:r>
        <w:rPr>
          <w:rFonts w:hint="eastAsia" w:ascii="宋体" w:hAnsi="宋体" w:cs="宋体"/>
          <w:spacing w:val="5"/>
          <w:szCs w:val="21"/>
        </w:rPr>
        <w:t>《中华人民共和国土地管理法》2020 年 1 月 1 日正式实施，其中第四十七条对土地征收程序进行了调整，明确规定了县级以上地方人民政府拟申请征收土地的，应当开展拟征收土地现状调查和社会稳定风险评估。根据《广东省自然资源厅关于明确土地征收和建设用地审查报批有关问题的通知（征求意见稿）》和</w:t>
      </w:r>
      <w:bookmarkStart w:id="0" w:name="OLE_LINK2"/>
      <w:r>
        <w:rPr>
          <w:rFonts w:hint="eastAsia" w:ascii="宋体" w:hAnsi="宋体" w:cs="宋体"/>
          <w:spacing w:val="5"/>
          <w:szCs w:val="21"/>
        </w:rPr>
        <w:t>《国家发展改革委关于印发国家发展改革委重大固定资产投资项目社会稳定风险评估暂行办法的通知》（发改投资〔2012〕2492 号）</w:t>
      </w:r>
      <w:bookmarkEnd w:id="0"/>
      <w:r>
        <w:rPr>
          <w:rFonts w:hint="eastAsia" w:ascii="宋体" w:hAnsi="宋体" w:cs="宋体"/>
          <w:spacing w:val="5"/>
          <w:szCs w:val="21"/>
        </w:rPr>
        <w:t>等有关要求，结合增城区实际情况，需对拟征收土地开展社会稳定风险分析和评估工作，对</w:t>
      </w:r>
      <w:bookmarkStart w:id="3" w:name="_GoBack"/>
      <w:bookmarkEnd w:id="3"/>
      <w:r>
        <w:rPr>
          <w:rFonts w:hint="eastAsia" w:ascii="宋体" w:hAnsi="宋体" w:cs="宋体"/>
          <w:spacing w:val="5"/>
          <w:szCs w:val="21"/>
        </w:rPr>
        <w:t>拟征收土地的社会稳定风险状况进行综合研判，确定风险点，提出风险防范措施和处置预案等。</w:t>
      </w:r>
    </w:p>
    <w:p>
      <w:pPr>
        <w:pStyle w:val="2"/>
        <w:ind w:left="0" w:leftChars="0" w:firstLine="0" w:firstLineChars="0"/>
        <w:rPr>
          <w:rFonts w:hint="default"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二、工作内容及服务要求</w:t>
      </w:r>
    </w:p>
    <w:p>
      <w:pPr>
        <w:rPr>
          <w:b/>
          <w:bCs/>
        </w:rPr>
      </w:pPr>
      <w:r>
        <w:rPr>
          <w:rFonts w:hint="eastAsia"/>
          <w:b/>
          <w:bCs/>
        </w:rPr>
        <w:t>（一）工作内容</w:t>
      </w:r>
    </w:p>
    <w:p>
      <w:pPr>
        <w:spacing w:line="360" w:lineRule="auto"/>
        <w:ind w:firstLine="420" w:firstLineChars="200"/>
      </w:pPr>
      <w:r>
        <w:rPr>
          <w:rFonts w:hint="eastAsia"/>
        </w:rPr>
        <w:t>1、制定社会稳定风险分析工作方案。工作方案应明确风险</w:t>
      </w:r>
      <w:r>
        <w:rPr>
          <w:rFonts w:hint="eastAsia" w:eastAsia="宋体"/>
          <w:lang w:val="en-US" w:eastAsia="zh-CN"/>
        </w:rPr>
        <w:t>分析</w:t>
      </w:r>
      <w:r>
        <w:rPr>
          <w:rFonts w:hint="eastAsia"/>
        </w:rPr>
        <w:t>的组织机构、职责分工、工作进度、工作方法与要求、拟征询意见对象及方法、风险分析/评估报告大纲等事项。</w:t>
      </w:r>
    </w:p>
    <w:p>
      <w:pPr>
        <w:spacing w:line="360" w:lineRule="auto"/>
        <w:ind w:firstLine="420" w:firstLineChars="200"/>
      </w:pPr>
      <w:r>
        <w:rPr>
          <w:rFonts w:hint="eastAsia"/>
        </w:rPr>
        <w:t>2、收集和审阅相关资料。全面收集并认真审阅社会稳定风险评估相关资料，主要包括但不限于以下文件：国家和地方相关法律、法规和政策；项目前期审批相关文件，包括勘察定界报告、征地预公告、征地标准或者补偿方案等；相关规划与标准规范；同类或类似项目决策风险</w:t>
      </w:r>
      <w:r>
        <w:rPr>
          <w:rFonts w:hint="eastAsia" w:eastAsia="宋体"/>
          <w:lang w:val="en-US" w:eastAsia="zh-CN"/>
        </w:rPr>
        <w:t>分析</w:t>
      </w:r>
      <w:r>
        <w:rPr>
          <w:rFonts w:hint="eastAsia"/>
        </w:rPr>
        <w:t>资料等。</w:t>
      </w:r>
    </w:p>
    <w:p>
      <w:pPr>
        <w:spacing w:line="360" w:lineRule="auto"/>
        <w:ind w:firstLine="420" w:firstLineChars="200"/>
      </w:pPr>
      <w:r>
        <w:rPr>
          <w:rFonts w:hint="eastAsia"/>
        </w:rPr>
        <w:t>3、充分听取各方意见。根据对拟征收地块项目分析情况，对周边情况进行调查，详细了解掌握地块自然区位、利用情况、被征范围是否与红线位置一致、土地是否已被违法使用、土地权属是否清晰、耕种情况等；开展民意调查，向受拟</w:t>
      </w:r>
      <w:r>
        <w:rPr>
          <w:rFonts w:hint="eastAsia" w:eastAsia="宋体"/>
          <w:lang w:val="en-US" w:eastAsia="zh-CN"/>
        </w:rPr>
        <w:t>征地块</w:t>
      </w:r>
      <w:r>
        <w:rPr>
          <w:rFonts w:hint="eastAsia"/>
        </w:rPr>
        <w:t>影响的相关群众了解情况，对受拟</w:t>
      </w:r>
      <w:r>
        <w:rPr>
          <w:rFonts w:hint="eastAsia" w:eastAsia="宋体"/>
          <w:lang w:val="en-US" w:eastAsia="zh-CN"/>
        </w:rPr>
        <w:t>征地块</w:t>
      </w:r>
      <w:r>
        <w:rPr>
          <w:rFonts w:hint="eastAsia"/>
        </w:rPr>
        <w:t>影响较大的群众、有特殊困难的家庭要重点走访,当面听取意见。听取意见要注意对象的广泛性和代表性，注意方式方法，确保收集意见的真实性和全面性；讲清项目相关的法律和政策依据、</w:t>
      </w:r>
      <w:r>
        <w:rPr>
          <w:rFonts w:hint="eastAsia" w:eastAsia="宋体"/>
          <w:lang w:val="en-US" w:eastAsia="zh-CN"/>
        </w:rPr>
        <w:t>地块</w:t>
      </w:r>
      <w:r>
        <w:rPr>
          <w:rFonts w:hint="eastAsia"/>
        </w:rPr>
        <w:t>征收后可能产生的影响，以便群众了解真实情况、表达真实意见。</w:t>
      </w:r>
    </w:p>
    <w:p>
      <w:pPr>
        <w:spacing w:line="360" w:lineRule="auto"/>
        <w:ind w:firstLine="420" w:firstLineChars="200"/>
      </w:pPr>
      <w:r>
        <w:rPr>
          <w:rFonts w:hint="eastAsia"/>
        </w:rPr>
        <w:t>4、全面</w:t>
      </w:r>
      <w:r>
        <w:rPr>
          <w:rFonts w:hint="eastAsia" w:eastAsia="宋体"/>
          <w:lang w:val="en-US" w:eastAsia="zh-CN"/>
        </w:rPr>
        <w:t>分析</w:t>
      </w:r>
      <w:r>
        <w:rPr>
          <w:rFonts w:hint="eastAsia"/>
        </w:rPr>
        <w:t>论证。分门别类梳理各方意见，参考相同或类似</w:t>
      </w:r>
      <w:r>
        <w:rPr>
          <w:rFonts w:hint="eastAsia" w:eastAsia="宋体"/>
          <w:lang w:val="en-US" w:eastAsia="zh-CN"/>
        </w:rPr>
        <w:t>征地</w:t>
      </w:r>
      <w:r>
        <w:rPr>
          <w:rFonts w:hint="eastAsia"/>
        </w:rPr>
        <w:t>项目引发社会稳定风险的情况，重点围绕拟征收地块建设实施的合法性、合理性、可行性、可控性进行客观、全面地</w:t>
      </w:r>
      <w:r>
        <w:rPr>
          <w:rFonts w:hint="eastAsia" w:eastAsia="宋体"/>
          <w:lang w:val="en-US" w:eastAsia="zh-CN"/>
        </w:rPr>
        <w:t>分析</w:t>
      </w:r>
      <w:r>
        <w:rPr>
          <w:rFonts w:hint="eastAsia"/>
        </w:rPr>
        <w:t>论证；对拟征地块所涉及的风险调查、风险识别、风险估计、风险防范和化解措施、风险等级评判等内容逐项进行</w:t>
      </w:r>
      <w:r>
        <w:rPr>
          <w:rFonts w:hint="eastAsia" w:eastAsia="宋体"/>
          <w:lang w:val="en-US" w:eastAsia="zh-CN"/>
        </w:rPr>
        <w:t>分析</w:t>
      </w:r>
      <w:r>
        <w:rPr>
          <w:rFonts w:hint="eastAsia"/>
        </w:rPr>
        <w:t>论证，特别是对风险因素、风险发生概率、可能引发矛盾纠纷的激烈程度和持续时间、涉及人员数量、可能产生的各种负面影响以及相关风险的可控程度进行</w:t>
      </w:r>
      <w:r>
        <w:rPr>
          <w:rFonts w:hint="eastAsia" w:eastAsia="宋体"/>
          <w:lang w:val="en-US" w:eastAsia="zh-CN"/>
        </w:rPr>
        <w:t>分析</w:t>
      </w:r>
      <w:r>
        <w:rPr>
          <w:rFonts w:hint="eastAsia"/>
        </w:rPr>
        <w:t>论证。</w:t>
      </w:r>
    </w:p>
    <w:p>
      <w:pPr>
        <w:spacing w:line="360" w:lineRule="auto"/>
        <w:ind w:firstLine="420" w:firstLineChars="200"/>
      </w:pPr>
      <w:r>
        <w:rPr>
          <w:rFonts w:hint="eastAsia"/>
        </w:rPr>
        <w:t>5、确定风险等级。根据</w:t>
      </w:r>
      <w:r>
        <w:rPr>
          <w:rFonts w:hint="eastAsia" w:eastAsia="宋体"/>
          <w:lang w:val="en-US" w:eastAsia="zh-CN"/>
        </w:rPr>
        <w:t>拟征收地块</w:t>
      </w:r>
      <w:r>
        <w:rPr>
          <w:rFonts w:hint="eastAsia"/>
        </w:rPr>
        <w:t>所在地人民政府确定的社会稳定风险</w:t>
      </w:r>
      <w:r>
        <w:rPr>
          <w:rFonts w:hint="eastAsia" w:eastAsia="宋体"/>
          <w:lang w:val="en-US" w:eastAsia="zh-CN"/>
        </w:rPr>
        <w:t>分析</w:t>
      </w:r>
      <w:r>
        <w:rPr>
          <w:rFonts w:hint="eastAsia"/>
        </w:rPr>
        <w:t>指标或评判标准，在综合考虑各方意见和全面分析论证的基础上，按照《国家发展改革委重大固定资产投资项目社会稳定风险评估暂行办法》的风险等级划分标准，对拟征收地块的社会稳定风险等级作出客观、公正的判断，确定项目社会稳定风险的高、中、低级。</w:t>
      </w:r>
    </w:p>
    <w:p>
      <w:pPr>
        <w:spacing w:line="360" w:lineRule="auto"/>
      </w:pPr>
      <w:r>
        <w:rPr>
          <w:rFonts w:hint="eastAsia"/>
        </w:rPr>
        <w:t>6、编制评估报告。拟征收地块社会稳定风险评估报告应包括以下内容：</w:t>
      </w:r>
    </w:p>
    <w:p>
      <w:pPr>
        <w:spacing w:line="360" w:lineRule="auto"/>
        <w:ind w:firstLine="420" w:firstLineChars="200"/>
      </w:pPr>
      <w:r>
        <w:rPr>
          <w:rFonts w:hint="eastAsia" w:eastAsia="宋体"/>
          <w:lang w:val="en-US" w:eastAsia="zh-CN"/>
        </w:rPr>
        <w:t>1.</w:t>
      </w:r>
      <w:r>
        <w:rPr>
          <w:rFonts w:hint="eastAsia"/>
        </w:rPr>
        <w:t>项目概况；</w:t>
      </w:r>
    </w:p>
    <w:p>
      <w:pPr>
        <w:spacing w:line="360" w:lineRule="auto"/>
        <w:ind w:firstLine="420" w:firstLineChars="200"/>
      </w:pPr>
      <w:r>
        <w:rPr>
          <w:rFonts w:hint="eastAsia" w:eastAsia="宋体"/>
          <w:lang w:val="en-US" w:eastAsia="zh-CN"/>
        </w:rPr>
        <w:t>2.分析</w:t>
      </w:r>
      <w:r>
        <w:rPr>
          <w:rFonts w:hint="eastAsia"/>
        </w:rPr>
        <w:t>依据；</w:t>
      </w:r>
    </w:p>
    <w:p>
      <w:pPr>
        <w:spacing w:line="360" w:lineRule="auto"/>
        <w:ind w:firstLine="420" w:firstLineChars="200"/>
      </w:pPr>
      <w:r>
        <w:rPr>
          <w:rFonts w:hint="eastAsia" w:eastAsia="宋体"/>
          <w:lang w:val="en-US" w:eastAsia="zh-CN"/>
        </w:rPr>
        <w:t>3.分析</w:t>
      </w:r>
      <w:r>
        <w:rPr>
          <w:rFonts w:hint="eastAsia"/>
        </w:rPr>
        <w:t>主体；</w:t>
      </w:r>
    </w:p>
    <w:p>
      <w:pPr>
        <w:spacing w:line="360" w:lineRule="auto"/>
        <w:ind w:firstLine="420" w:firstLineChars="200"/>
      </w:pPr>
      <w:r>
        <w:rPr>
          <w:rFonts w:hint="eastAsia" w:eastAsia="宋体"/>
          <w:lang w:val="en-US" w:eastAsia="zh-CN"/>
        </w:rPr>
        <w:t>4.分析</w:t>
      </w:r>
      <w:r>
        <w:rPr>
          <w:rFonts w:hint="eastAsia"/>
        </w:rPr>
        <w:t xml:space="preserve">过程和方法； </w:t>
      </w:r>
    </w:p>
    <w:p>
      <w:pPr>
        <w:spacing w:line="360" w:lineRule="auto"/>
        <w:ind w:firstLine="420" w:firstLineChars="200"/>
      </w:pPr>
      <w:r>
        <w:rPr>
          <w:rFonts w:hint="eastAsia" w:eastAsia="宋体"/>
          <w:lang w:val="en-US" w:eastAsia="zh-CN"/>
        </w:rPr>
        <w:t>5.</w:t>
      </w:r>
      <w:r>
        <w:rPr>
          <w:rFonts w:hint="eastAsia"/>
        </w:rPr>
        <w:t>风险调查</w:t>
      </w:r>
      <w:r>
        <w:rPr>
          <w:rFonts w:hint="eastAsia" w:eastAsia="宋体"/>
          <w:lang w:val="en-US" w:eastAsia="zh-CN"/>
        </w:rPr>
        <w:t>分析</w:t>
      </w:r>
      <w:r>
        <w:rPr>
          <w:rFonts w:hint="eastAsia"/>
        </w:rPr>
        <w:t xml:space="preserve">； </w:t>
      </w:r>
    </w:p>
    <w:p>
      <w:pPr>
        <w:spacing w:line="360" w:lineRule="auto"/>
        <w:ind w:firstLine="420" w:firstLineChars="200"/>
        <w:rPr>
          <w:rFonts w:hint="eastAsia" w:eastAsia="宋体"/>
          <w:lang w:val="en-US" w:eastAsia="zh-CN"/>
        </w:rPr>
      </w:pPr>
      <w:r>
        <w:rPr>
          <w:rFonts w:hint="eastAsia" w:eastAsia="宋体"/>
          <w:lang w:val="en-US" w:eastAsia="zh-CN"/>
        </w:rPr>
        <w:t xml:space="preserve">6.补充风险调查及各方意见采纳情况； </w:t>
      </w:r>
    </w:p>
    <w:p>
      <w:pPr>
        <w:spacing w:line="360" w:lineRule="auto"/>
        <w:ind w:firstLine="420" w:firstLineChars="200"/>
        <w:rPr>
          <w:rFonts w:hint="eastAsia" w:eastAsia="宋体"/>
          <w:lang w:val="en-US" w:eastAsia="zh-CN"/>
        </w:rPr>
      </w:pPr>
      <w:r>
        <w:rPr>
          <w:rFonts w:hint="eastAsia" w:eastAsia="宋体"/>
          <w:lang w:val="en-US" w:eastAsia="zh-CN"/>
        </w:rPr>
        <w:t xml:space="preserve">7.风险识别和估计分析； </w:t>
      </w:r>
    </w:p>
    <w:p>
      <w:pPr>
        <w:spacing w:line="360" w:lineRule="auto"/>
        <w:ind w:firstLine="420" w:firstLineChars="200"/>
        <w:rPr>
          <w:rFonts w:hint="eastAsia" w:eastAsia="宋体"/>
          <w:lang w:val="en-US" w:eastAsia="zh-CN"/>
        </w:rPr>
      </w:pPr>
      <w:r>
        <w:rPr>
          <w:rFonts w:hint="eastAsia" w:eastAsia="宋体"/>
          <w:lang w:val="en-US" w:eastAsia="zh-CN"/>
        </w:rPr>
        <w:t xml:space="preserve">8.风险防范和化解措施的分析； </w:t>
      </w:r>
    </w:p>
    <w:p>
      <w:pPr>
        <w:spacing w:line="360" w:lineRule="auto"/>
        <w:ind w:firstLine="420" w:firstLineChars="200"/>
        <w:rPr>
          <w:rFonts w:hint="eastAsia" w:eastAsia="宋体"/>
          <w:lang w:val="en-US" w:eastAsia="zh-CN"/>
        </w:rPr>
      </w:pPr>
      <w:r>
        <w:rPr>
          <w:rFonts w:hint="eastAsia" w:eastAsia="宋体"/>
          <w:lang w:val="en-US" w:eastAsia="zh-CN"/>
        </w:rPr>
        <w:t xml:space="preserve">9.风险等级的确定； </w:t>
      </w:r>
    </w:p>
    <w:p>
      <w:pPr>
        <w:spacing w:line="360" w:lineRule="auto"/>
        <w:ind w:firstLine="420" w:firstLineChars="200"/>
        <w:rPr>
          <w:rFonts w:hint="eastAsia" w:eastAsia="宋体"/>
          <w:lang w:val="en-US" w:eastAsia="zh-CN"/>
        </w:rPr>
      </w:pPr>
      <w:r>
        <w:rPr>
          <w:rFonts w:hint="eastAsia" w:eastAsia="宋体"/>
          <w:lang w:val="en-US" w:eastAsia="zh-CN"/>
        </w:rPr>
        <w:t>10.分析结论</w:t>
      </w:r>
    </w:p>
    <w:p>
      <w:pPr>
        <w:spacing w:line="360" w:lineRule="auto"/>
        <w:rPr>
          <w:b/>
          <w:bCs/>
          <w:sz w:val="24"/>
          <w:szCs w:val="24"/>
        </w:rPr>
      </w:pPr>
      <w:r>
        <w:rPr>
          <w:rFonts w:hint="eastAsia"/>
          <w:b/>
          <w:bCs/>
          <w:sz w:val="24"/>
          <w:szCs w:val="24"/>
        </w:rPr>
        <w:t>（二）编制依据</w:t>
      </w:r>
    </w:p>
    <w:p>
      <w:pPr>
        <w:spacing w:line="360" w:lineRule="auto"/>
        <w:ind w:firstLine="420" w:firstLineChars="200"/>
      </w:pPr>
      <w:r>
        <w:rPr>
          <w:rFonts w:hint="eastAsia"/>
        </w:rPr>
        <w:t>1、《中华人民共和国土地管理法》（2019年修订）；</w:t>
      </w:r>
    </w:p>
    <w:p>
      <w:pPr>
        <w:spacing w:line="360" w:lineRule="auto"/>
        <w:ind w:firstLine="420" w:firstLineChars="200"/>
      </w:pPr>
      <w:r>
        <w:rPr>
          <w:rFonts w:hint="eastAsia"/>
        </w:rPr>
        <w:t>2、《中华人民共和国土地管理法实施条例》（中华人民共和国国务院令第743号，2021年）；</w:t>
      </w:r>
    </w:p>
    <w:p>
      <w:pPr>
        <w:spacing w:line="360" w:lineRule="auto"/>
        <w:ind w:firstLine="420" w:firstLineChars="200"/>
      </w:pPr>
      <w:r>
        <w:rPr>
          <w:rFonts w:hint="eastAsia"/>
        </w:rPr>
        <w:t>3、《广东省自然资源厅关于明确土地征收和建设用地审查报批有关问题的通知（征求意见稿）》</w:t>
      </w:r>
    </w:p>
    <w:p>
      <w:pPr>
        <w:spacing w:line="360" w:lineRule="auto"/>
        <w:ind w:firstLine="420" w:firstLineChars="200"/>
      </w:pPr>
      <w:r>
        <w:rPr>
          <w:rFonts w:hint="eastAsia"/>
        </w:rPr>
        <w:t>4、《广东省自然资源厅关于进一步规范土地征收工作的通知（征求意见稿）》</w:t>
      </w:r>
    </w:p>
    <w:p>
      <w:pPr>
        <w:spacing w:line="360" w:lineRule="auto"/>
        <w:ind w:firstLine="420" w:firstLineChars="200"/>
      </w:pPr>
      <w:r>
        <w:rPr>
          <w:rFonts w:hint="eastAsia"/>
        </w:rPr>
        <w:t>5、《国家发展改革委关于印发国家发展改革委重大固定资产投资项目社会稳定风险评估暂行办法的通知》（发改投资〔2012〕2492 号）</w:t>
      </w:r>
    </w:p>
    <w:p>
      <w:pPr>
        <w:spacing w:line="360" w:lineRule="auto"/>
        <w:ind w:firstLine="420" w:firstLineChars="200"/>
      </w:pPr>
      <w:r>
        <w:rPr>
          <w:rFonts w:hint="eastAsia"/>
        </w:rPr>
        <w:t>6、《中共中央办公厅、国务院办公厅印发＜关于建立健全重大决策社会稳定风险评估机制指导意见＞的通知》（中发办〔2012〕2号）</w:t>
      </w:r>
    </w:p>
    <w:p>
      <w:pPr>
        <w:spacing w:line="360" w:lineRule="auto"/>
        <w:ind w:firstLine="420" w:firstLineChars="200"/>
      </w:pPr>
      <w:r>
        <w:rPr>
          <w:rFonts w:hint="eastAsia"/>
        </w:rPr>
        <w:t>7、《中共广东省委办公厅、广东省人民政府办公厅印发（关于建立广东省重大事项社会稳定风险评估工作机制的意见〉的通知》（粤办发〔2011〕3号）</w:t>
      </w:r>
    </w:p>
    <w:p>
      <w:pPr>
        <w:spacing w:line="360" w:lineRule="auto"/>
        <w:ind w:firstLine="420" w:firstLineChars="200"/>
      </w:pPr>
      <w:r>
        <w:rPr>
          <w:rFonts w:hint="eastAsia"/>
        </w:rPr>
        <w:t>8、《中共广东省办公厅、广东省人民政府办公厅印发（关于全面推进和深化广东省重大决策社会稳定风险评估工作的意见〉的通知》（粤办发〔2015〕15号）</w:t>
      </w:r>
    </w:p>
    <w:p>
      <w:pPr>
        <w:spacing w:line="360" w:lineRule="auto"/>
        <w:ind w:firstLine="420" w:firstLineChars="200"/>
      </w:pPr>
      <w:r>
        <w:rPr>
          <w:rFonts w:hint="eastAsia"/>
        </w:rPr>
        <w:t>9、《广东省国土资源厅关于开展重大事项社会稳定风险评估工作的意见》（粤国土资信访发〔2012〕2号）</w:t>
      </w:r>
    </w:p>
    <w:p>
      <w:pPr>
        <w:spacing w:line="360" w:lineRule="auto"/>
        <w:ind w:firstLine="420" w:firstLineChars="200"/>
      </w:pPr>
      <w:r>
        <w:rPr>
          <w:rFonts w:hint="eastAsia"/>
        </w:rPr>
        <w:t>10、《中共广州市委办公厅、广州市人民政府办公厅印发（关于对重大事项进行社会稳定风险评估的实施意见（试行）〉的通知》（穗办〔2009〕22号）</w:t>
      </w:r>
    </w:p>
    <w:p>
      <w:pPr>
        <w:spacing w:line="360" w:lineRule="auto"/>
        <w:ind w:firstLine="420" w:firstLineChars="200"/>
      </w:pPr>
      <w:r>
        <w:rPr>
          <w:rFonts w:hint="eastAsia"/>
        </w:rPr>
        <w:t>11、《中共广州市委办公厅广州市人民政府办公厅印发＜广州市重大决策社会稳定风险评估工作规程＞的通知》（穗办〔2015〕6号）</w:t>
      </w:r>
    </w:p>
    <w:p>
      <w:pPr>
        <w:spacing w:line="360" w:lineRule="auto"/>
        <w:rPr>
          <w:b/>
          <w:bCs/>
          <w:sz w:val="24"/>
          <w:szCs w:val="24"/>
        </w:rPr>
      </w:pPr>
      <w:r>
        <w:rPr>
          <w:rFonts w:hint="eastAsia"/>
          <w:b/>
          <w:bCs/>
          <w:sz w:val="24"/>
          <w:szCs w:val="24"/>
        </w:rPr>
        <w:t>（三）服务要求</w:t>
      </w:r>
    </w:p>
    <w:p>
      <w:pPr>
        <w:spacing w:line="360" w:lineRule="auto"/>
      </w:pPr>
      <w:bookmarkStart w:id="1" w:name="OLE_LINK1"/>
      <w:r>
        <w:rPr>
          <w:rFonts w:hint="eastAsia"/>
        </w:rPr>
        <w:t>1、总体要求</w:t>
      </w:r>
    </w:p>
    <w:bookmarkEnd w:id="1"/>
    <w:p>
      <w:pPr>
        <w:spacing w:line="360" w:lineRule="auto"/>
        <w:ind w:firstLine="420" w:firstLineChars="200"/>
      </w:pPr>
      <w:r>
        <w:rPr>
          <w:rFonts w:hint="eastAsia"/>
        </w:rPr>
        <w:t xml:space="preserve">1） 服务周期:由采购人与供应商签订的合同生效之日开始计算，合同周期为3 年。 </w:t>
      </w:r>
    </w:p>
    <w:p>
      <w:pPr>
        <w:spacing w:line="360" w:lineRule="auto"/>
        <w:ind w:firstLine="420" w:firstLineChars="200"/>
      </w:pPr>
      <w:r>
        <w:rPr>
          <w:rFonts w:hint="eastAsia"/>
        </w:rPr>
        <w:t>2）一年内不得两次拒绝接受委托的服务项目，否则采购人有权终止《工程咨询服务合同》。若在咨询分析或编制过程中有违反规定的行为或其他违反国家法律法规规定的行为，采购人有权提请相关部门依据有关规定对中标人做出相应处罚，并向社会公布。</w:t>
      </w:r>
    </w:p>
    <w:p>
      <w:pPr>
        <w:spacing w:line="360" w:lineRule="auto"/>
        <w:ind w:firstLine="420" w:firstLineChars="200"/>
      </w:pPr>
      <w:r>
        <w:rPr>
          <w:rFonts w:hint="eastAsia"/>
        </w:rPr>
        <w:t>3) 中标人必须严格按要求期限独立完成工作，不得无故延误工作时间，特殊情况需报告采购人，经采购人批准后方可根据实际情况考虑适当延长工作时间。若采购人对所完成的委托服务项目的质量 (未能达到工程咨询服务合同要求的深度)不满意，则有权发出警告信给中标人并取消其受托资格。</w:t>
      </w:r>
    </w:p>
    <w:p>
      <w:pPr>
        <w:spacing w:line="360" w:lineRule="auto"/>
      </w:pPr>
      <w:r>
        <w:rPr>
          <w:rFonts w:hint="eastAsia"/>
        </w:rPr>
        <w:t>2、咨询服务供应商要求：</w:t>
      </w:r>
    </w:p>
    <w:p>
      <w:pPr>
        <w:spacing w:line="360" w:lineRule="auto"/>
        <w:ind w:firstLine="420" w:firstLineChars="200"/>
      </w:pPr>
      <w:r>
        <w:rPr>
          <w:rFonts w:hint="eastAsia"/>
        </w:rPr>
        <w:t xml:space="preserve">1）咨询服务供应商要对广州市增城区经济、社会、民生、民俗等情况比较熟悉，能够对拟征收地块的社会稳定风险进行实地调查分析，征询当地群众意见，客观查找并列出风险点、风险发生的可能性及影响程度，提出防范和化解风险的方案措施，提出采取相关措施后的社会稳定风险等级建议。 </w:t>
      </w:r>
    </w:p>
    <w:p>
      <w:pPr>
        <w:spacing w:line="360" w:lineRule="auto"/>
        <w:ind w:firstLine="420" w:firstLineChars="200"/>
      </w:pPr>
      <w:r>
        <w:rPr>
          <w:rFonts w:hint="eastAsia"/>
        </w:rPr>
        <w:t xml:space="preserve">2）咨询服务供应商要能根据国家和省、市有关的法规、政策、文件，本着科学、客观、公正的原则，对分析的真实性、准确性负责，并负有保密责任及承担相应法律责任。 </w:t>
      </w:r>
    </w:p>
    <w:p>
      <w:pPr>
        <w:spacing w:line="360" w:lineRule="auto"/>
        <w:ind w:firstLine="420" w:firstLineChars="200"/>
      </w:pPr>
      <w:r>
        <w:rPr>
          <w:rFonts w:hint="eastAsia"/>
        </w:rPr>
        <w:t xml:space="preserve">3）咨询服务供应商要具有健全的单位章程、规范的管理制度，有固定的办公场所和办公设备，拥有足够的人力、物力、财力和技术能力等资源保证按时按质按量完成委托的任务，并承担相应的法律责任。 </w:t>
      </w:r>
    </w:p>
    <w:p>
      <w:pPr>
        <w:spacing w:line="360" w:lineRule="auto"/>
        <w:ind w:firstLine="420" w:firstLineChars="200"/>
      </w:pPr>
      <w:r>
        <w:rPr>
          <w:rFonts w:hint="eastAsia"/>
        </w:rPr>
        <w:t>4）★</w:t>
      </w:r>
      <w:r>
        <w:rPr>
          <w:rFonts w:hint="eastAsia"/>
          <w:b/>
          <w:bCs/>
        </w:rPr>
        <w:t>供应商中标后须在</w:t>
      </w:r>
      <w:r>
        <w:rPr>
          <w:rFonts w:hint="eastAsia" w:eastAsia="宋体"/>
          <w:b/>
          <w:bCs/>
          <w:lang w:val="en-US" w:eastAsia="zh-CN"/>
        </w:rPr>
        <w:t>5个工作日内在</w:t>
      </w:r>
      <w:r>
        <w:rPr>
          <w:rFonts w:hint="eastAsia"/>
          <w:b/>
          <w:bCs/>
        </w:rPr>
        <w:t>广州市内设有固定的办公场所</w:t>
      </w:r>
      <w:r>
        <w:rPr>
          <w:rFonts w:hint="eastAsia" w:eastAsia="宋体"/>
          <w:b/>
          <w:bCs/>
          <w:lang w:eastAsia="zh-CN"/>
        </w:rPr>
        <w:t>（</w:t>
      </w:r>
      <w:r>
        <w:rPr>
          <w:rFonts w:hint="eastAsia" w:eastAsia="宋体"/>
          <w:b/>
          <w:bCs/>
          <w:lang w:val="en-US" w:eastAsia="zh-CN"/>
        </w:rPr>
        <w:t>须在投标文件中提供承诺函</w:t>
      </w:r>
      <w:r>
        <w:rPr>
          <w:rFonts w:hint="eastAsia" w:eastAsia="宋体"/>
          <w:b/>
          <w:bCs/>
          <w:lang w:eastAsia="zh-CN"/>
        </w:rPr>
        <w:t>）</w:t>
      </w:r>
      <w:r>
        <w:rPr>
          <w:rFonts w:hint="eastAsia"/>
          <w:b/>
          <w:bCs/>
        </w:rPr>
        <w:t>；</w:t>
      </w:r>
      <w:r>
        <w:rPr>
          <w:rFonts w:hint="eastAsia"/>
        </w:rPr>
        <w:t xml:space="preserve"> </w:t>
      </w:r>
    </w:p>
    <w:p>
      <w:pPr>
        <w:spacing w:line="360" w:lineRule="auto"/>
        <w:ind w:firstLine="420" w:firstLineChars="200"/>
        <w:rPr>
          <w:rFonts w:hint="eastAsia"/>
        </w:rPr>
      </w:pPr>
      <w:r>
        <w:rPr>
          <w:rFonts w:hint="eastAsia"/>
        </w:rPr>
        <w:t>5）咨询服务供应商能在 24小时内响应采购人及委托人的要求。</w:t>
      </w:r>
    </w:p>
    <w:p>
      <w:pPr>
        <w:spacing w:line="360" w:lineRule="auto"/>
        <w:ind w:firstLine="0" w:firstLineChars="0"/>
        <w:rPr>
          <w:rFonts w:hint="default" w:eastAsia="宋体"/>
          <w:lang w:val="en-US" w:eastAsia="zh-CN"/>
        </w:rPr>
      </w:pPr>
      <w:r>
        <w:rPr>
          <w:rFonts w:hint="eastAsia" w:eastAsia="宋体"/>
          <w:lang w:val="en-US" w:eastAsia="zh-CN"/>
        </w:rPr>
        <w:t>3、</w:t>
      </w:r>
      <w:r>
        <w:rPr>
          <w:rFonts w:hint="eastAsia"/>
        </w:rPr>
        <w:t xml:space="preserve"> </w:t>
      </w:r>
      <w:r>
        <w:rPr>
          <w:rFonts w:hint="eastAsia" w:eastAsia="宋体"/>
          <w:lang w:val="en-US" w:eastAsia="zh-CN"/>
        </w:rPr>
        <w:t>中标人应指派专业服务团队提供咨询等服务人员不少于11人。</w:t>
      </w:r>
    </w:p>
    <w:p>
      <w:pPr>
        <w:spacing w:line="360" w:lineRule="auto"/>
        <w:rPr>
          <w:b/>
          <w:bCs/>
          <w:sz w:val="24"/>
          <w:szCs w:val="24"/>
        </w:rPr>
      </w:pPr>
      <w:r>
        <w:rPr>
          <w:rFonts w:hint="eastAsia"/>
          <w:b/>
          <w:bCs/>
          <w:sz w:val="24"/>
          <w:szCs w:val="24"/>
          <w:lang w:val="en-US" w:eastAsia="zh-CN"/>
        </w:rPr>
        <w:t>三</w:t>
      </w:r>
      <w:r>
        <w:rPr>
          <w:rFonts w:hint="eastAsia"/>
          <w:b/>
          <w:bCs/>
          <w:sz w:val="24"/>
          <w:szCs w:val="24"/>
        </w:rPr>
        <w:t>、成果要求及验收方式</w:t>
      </w:r>
    </w:p>
    <w:p>
      <w:pPr>
        <w:spacing w:line="360" w:lineRule="auto"/>
      </w:pPr>
      <w:r>
        <w:rPr>
          <w:rFonts w:hint="eastAsia"/>
        </w:rPr>
        <w:t>（一）成果要求</w:t>
      </w:r>
    </w:p>
    <w:p>
      <w:pPr>
        <w:spacing w:line="360" w:lineRule="auto"/>
        <w:ind w:firstLine="420" w:firstLineChars="200"/>
      </w:pPr>
      <w:r>
        <w:rPr>
          <w:rFonts w:hint="eastAsia"/>
        </w:rPr>
        <w:t>1）咨询成果必须符合《中华人民共和国土地管理法》和《广东省自然资源厅关于明确土地征收和建设用地审查报批有关问题的通知（征求意见稿）》和《国家发展改革委关于印发国家发展改革委重大固定资产投资项目社会稳定风险评估暂行办法的通知》（发改投资〔2012〕2492号）等有关要求。</w:t>
      </w:r>
    </w:p>
    <w:p>
      <w:pPr>
        <w:spacing w:line="360" w:lineRule="auto"/>
        <w:ind w:firstLine="420" w:firstLineChars="200"/>
      </w:pPr>
      <w:r>
        <w:rPr>
          <w:rFonts w:hint="eastAsia"/>
        </w:rPr>
        <w:t xml:space="preserve">2)中标人与采购人签订合同后 30 个自然日内提交《征收土地社会稳定风险分析报告》或《征收土地社会稳定风险评估报告》，数量 6 套。咨询成果必须做到清晰、完整、表达准确，同类图纸规格应尽量统一。 </w:t>
      </w:r>
    </w:p>
    <w:p>
      <w:pPr>
        <w:spacing w:line="360" w:lineRule="auto"/>
        <w:rPr>
          <w:rFonts w:hint="eastAsia"/>
        </w:rPr>
      </w:pPr>
      <w:r>
        <w:rPr>
          <w:rFonts w:hint="eastAsia"/>
        </w:rPr>
        <w:t>3)根据审查环节的需要，在提交咨询成果进行审查的每个环节，中标人均应提供符合要求的图纸全本或简本，数量以满足审查要求为准。</w:t>
      </w:r>
    </w:p>
    <w:p>
      <w:pPr>
        <w:spacing w:line="360" w:lineRule="auto"/>
        <w:rPr>
          <w:rFonts w:hint="eastAsia" w:eastAsia="宋体"/>
          <w:b/>
          <w:bCs/>
          <w:sz w:val="24"/>
          <w:szCs w:val="24"/>
          <w:lang w:val="en-US" w:eastAsia="zh-CN"/>
        </w:rPr>
      </w:pPr>
      <w:r>
        <w:rPr>
          <w:rFonts w:hint="eastAsia" w:eastAsia="宋体"/>
          <w:b/>
          <w:bCs/>
          <w:sz w:val="24"/>
          <w:szCs w:val="24"/>
          <w:lang w:val="en-US" w:eastAsia="zh-CN"/>
        </w:rPr>
        <w:t>四、报价要求</w:t>
      </w:r>
    </w:p>
    <w:p>
      <w:pPr>
        <w:spacing w:line="360" w:lineRule="auto"/>
        <w:ind w:firstLine="420" w:firstLineChars="200"/>
        <w:rPr>
          <w:rFonts w:hint="eastAsia"/>
          <w:lang w:val="en-US" w:eastAsia="zh-CN"/>
        </w:rPr>
      </w:pPr>
      <w:r>
        <w:rPr>
          <w:rFonts w:hint="eastAsia"/>
          <w:lang w:val="en-US" w:eastAsia="zh-CN"/>
        </w:rPr>
        <w:t>1、除采购人提出的各项服务要求外，投标人可根据自身条件，在标准收费的基础上报下浮率。</w:t>
      </w:r>
    </w:p>
    <w:p>
      <w:pPr>
        <w:spacing w:line="360" w:lineRule="auto"/>
        <w:ind w:firstLine="420" w:firstLineChars="200"/>
        <w:rPr>
          <w:rFonts w:hint="eastAsia"/>
          <w:lang w:val="en-US" w:eastAsia="zh-CN"/>
        </w:rPr>
      </w:pPr>
      <w:r>
        <w:rPr>
          <w:rFonts w:hint="eastAsia"/>
          <w:lang w:val="en-US" w:eastAsia="zh-CN"/>
        </w:rPr>
        <w:t>2、征收地块社会稳定风险分析咨询服务投标下浮率精确到小数点后两位。协议执行期内，中标下浮率不作调整。</w:t>
      </w:r>
    </w:p>
    <w:p>
      <w:pPr>
        <w:spacing w:line="360" w:lineRule="auto"/>
        <w:ind w:firstLine="420" w:firstLineChars="200"/>
        <w:rPr>
          <w:rFonts w:hint="eastAsia"/>
          <w:lang w:val="en-US" w:eastAsia="zh-CN"/>
        </w:rPr>
      </w:pPr>
      <w:r>
        <w:rPr>
          <w:rFonts w:hint="eastAsia"/>
          <w:lang w:val="en-US" w:eastAsia="zh-CN"/>
        </w:rPr>
        <w:t>3、服务费=标准收费×（1-中标下浮率）。</w:t>
      </w:r>
    </w:p>
    <w:p>
      <w:pPr>
        <w:pStyle w:val="3"/>
        <w:adjustRightInd w:val="0"/>
        <w:snapToGrid w:val="0"/>
        <w:spacing w:line="360" w:lineRule="auto"/>
        <w:ind w:firstLine="440" w:firstLineChars="200"/>
        <w:rPr>
          <w:rFonts w:ascii="宋体" w:hAnsi="宋体" w:cs="宋体"/>
          <w:kern w:val="0"/>
          <w:sz w:val="21"/>
          <w:szCs w:val="21"/>
          <w:lang w:bidi="ar"/>
        </w:rPr>
      </w:pPr>
      <w:r>
        <w:rPr>
          <w:rFonts w:hint="eastAsia" w:ascii="宋体" w:hAnsi="宋体" w:eastAsia="宋体" w:cs="宋体"/>
          <w:spacing w:val="5"/>
          <w:sz w:val="21"/>
          <w:szCs w:val="21"/>
          <w:lang w:val="en-US" w:eastAsia="zh-CN"/>
        </w:rPr>
        <w:t>4.</w:t>
      </w:r>
      <w:r>
        <w:rPr>
          <w:rFonts w:hint="eastAsia" w:ascii="宋体" w:hAnsi="宋体" w:cs="宋体"/>
          <w:spacing w:val="5"/>
          <w:sz w:val="21"/>
          <w:szCs w:val="21"/>
        </w:rPr>
        <w:t>收费标准</w:t>
      </w:r>
      <w:r>
        <w:rPr>
          <w:rFonts w:hint="eastAsia" w:ascii="宋体" w:hAnsi="宋体" w:cs="宋体"/>
          <w:kern w:val="0"/>
          <w:sz w:val="21"/>
          <w:szCs w:val="21"/>
          <w:lang w:bidi="ar"/>
        </w:rPr>
        <w:t xml:space="preserve"> </w:t>
      </w:r>
    </w:p>
    <w:p>
      <w:pPr>
        <w:pStyle w:val="3"/>
        <w:adjustRightInd w:val="0"/>
        <w:snapToGrid w:val="0"/>
        <w:spacing w:line="360" w:lineRule="auto"/>
        <w:ind w:firstLine="440" w:firstLineChars="200"/>
        <w:rPr>
          <w:rFonts w:ascii="宋体" w:hAnsi="宋体" w:cs="宋体"/>
          <w:spacing w:val="5"/>
          <w:sz w:val="21"/>
          <w:szCs w:val="21"/>
        </w:rPr>
      </w:pPr>
      <w:r>
        <w:rPr>
          <w:rFonts w:hint="eastAsia" w:ascii="宋体" w:hAnsi="宋体" w:cs="宋体"/>
          <w:spacing w:val="5"/>
          <w:sz w:val="21"/>
          <w:szCs w:val="21"/>
        </w:rPr>
        <w:t>按征收地块土地所有权人确定收费标准如下:</w:t>
      </w:r>
    </w:p>
    <w:tbl>
      <w:tblPr>
        <w:tblStyle w:val="4"/>
        <w:tblW w:w="8998" w:type="dxa"/>
        <w:jc w:val="center"/>
        <w:tblLayout w:type="fixed"/>
        <w:tblCellMar>
          <w:top w:w="0" w:type="dxa"/>
          <w:left w:w="108" w:type="dxa"/>
          <w:bottom w:w="0" w:type="dxa"/>
          <w:right w:w="108" w:type="dxa"/>
        </w:tblCellMar>
      </w:tblPr>
      <w:tblGrid>
        <w:gridCol w:w="2831"/>
        <w:gridCol w:w="6167"/>
      </w:tblGrid>
      <w:tr>
        <w:tblPrEx>
          <w:tblCellMar>
            <w:top w:w="0" w:type="dxa"/>
            <w:left w:w="108" w:type="dxa"/>
            <w:bottom w:w="0" w:type="dxa"/>
            <w:right w:w="108" w:type="dxa"/>
          </w:tblCellMar>
        </w:tblPrEx>
        <w:trPr>
          <w:trHeight w:val="960" w:hRule="atLeast"/>
          <w:jc w:val="center"/>
        </w:trPr>
        <w:tc>
          <w:tcPr>
            <w:tcW w:w="28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baseline"/>
              <w:rPr>
                <w:rFonts w:ascii="宋体" w:hAnsi="宋体" w:cs="宋体"/>
                <w:b/>
                <w:bCs/>
                <w:szCs w:val="21"/>
              </w:rPr>
            </w:pPr>
            <w:bookmarkStart w:id="2" w:name="_Hlk84869956"/>
            <w:r>
              <w:rPr>
                <w:rFonts w:hint="eastAsia" w:ascii="宋体" w:hAnsi="宋体" w:cs="宋体"/>
                <w:b/>
                <w:bCs/>
                <w:szCs w:val="21"/>
              </w:rPr>
              <w:t>征收地块土地所有权人</w:t>
            </w:r>
          </w:p>
          <w:p>
            <w:pPr>
              <w:widowControl/>
              <w:spacing w:line="360" w:lineRule="auto"/>
              <w:jc w:val="center"/>
              <w:textAlignment w:val="baseline"/>
              <w:rPr>
                <w:rFonts w:ascii="宋体" w:hAnsi="宋体" w:cs="宋体"/>
                <w:b/>
                <w:bCs/>
                <w:szCs w:val="21"/>
              </w:rPr>
            </w:pPr>
            <w:r>
              <w:rPr>
                <w:rFonts w:hint="eastAsia" w:ascii="宋体" w:hAnsi="宋体" w:cs="宋体"/>
                <w:b/>
                <w:bCs/>
                <w:szCs w:val="21"/>
              </w:rPr>
              <w:t>（a为被征收地块农村集体经济组织，单位：个）</w:t>
            </w:r>
          </w:p>
        </w:tc>
        <w:tc>
          <w:tcPr>
            <w:tcW w:w="6167" w:type="dxa"/>
            <w:tcBorders>
              <w:top w:val="single" w:color="auto" w:sz="4" w:space="0"/>
              <w:left w:val="nil"/>
              <w:bottom w:val="single" w:color="auto" w:sz="4" w:space="0"/>
              <w:right w:val="single" w:color="auto" w:sz="4" w:space="0"/>
            </w:tcBorders>
            <w:vAlign w:val="center"/>
          </w:tcPr>
          <w:p>
            <w:pPr>
              <w:widowControl/>
              <w:spacing w:line="360" w:lineRule="auto"/>
              <w:jc w:val="center"/>
              <w:textAlignment w:val="baseline"/>
              <w:rPr>
                <w:rFonts w:ascii="宋体" w:hAnsi="宋体" w:cs="宋体"/>
                <w:b/>
                <w:bCs/>
                <w:szCs w:val="21"/>
              </w:rPr>
            </w:pPr>
            <w:r>
              <w:rPr>
                <w:rFonts w:hint="eastAsia" w:ascii="宋体" w:hAnsi="宋体" w:eastAsia="宋体" w:cs="宋体"/>
                <w:b/>
                <w:bCs/>
                <w:szCs w:val="21"/>
                <w:lang w:val="en-US" w:eastAsia="zh-CN"/>
              </w:rPr>
              <w:t>标准收费及</w:t>
            </w:r>
            <w:r>
              <w:rPr>
                <w:rFonts w:hint="eastAsia" w:ascii="宋体" w:hAnsi="宋体" w:cs="宋体"/>
                <w:b/>
                <w:bCs/>
                <w:szCs w:val="21"/>
              </w:rPr>
              <w:t>单项最高限价（单位：万元）</w:t>
            </w:r>
          </w:p>
        </w:tc>
      </w:tr>
      <w:tr>
        <w:tblPrEx>
          <w:tblCellMar>
            <w:top w:w="0" w:type="dxa"/>
            <w:left w:w="108" w:type="dxa"/>
            <w:bottom w:w="0" w:type="dxa"/>
            <w:right w:w="108" w:type="dxa"/>
          </w:tblCellMar>
        </w:tblPrEx>
        <w:trPr>
          <w:trHeight w:val="450" w:hRule="atLeast"/>
          <w:jc w:val="center"/>
        </w:trPr>
        <w:tc>
          <w:tcPr>
            <w:tcW w:w="2831"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aseline"/>
              <w:rPr>
                <w:rFonts w:ascii="宋体" w:hAnsi="宋体" w:cs="宋体"/>
                <w:szCs w:val="21"/>
              </w:rPr>
            </w:pPr>
            <w:r>
              <w:rPr>
                <w:rFonts w:hint="eastAsia" w:ascii="宋体" w:hAnsi="宋体" w:cs="宋体"/>
                <w:szCs w:val="21"/>
              </w:rPr>
              <w:t>1≤a≤5</w:t>
            </w:r>
          </w:p>
        </w:tc>
        <w:tc>
          <w:tcPr>
            <w:tcW w:w="6167" w:type="dxa"/>
            <w:tcBorders>
              <w:top w:val="nil"/>
              <w:left w:val="nil"/>
              <w:bottom w:val="single" w:color="auto" w:sz="4" w:space="0"/>
              <w:right w:val="single" w:color="auto" w:sz="4" w:space="0"/>
            </w:tcBorders>
            <w:vAlign w:val="center"/>
          </w:tcPr>
          <w:p>
            <w:pPr>
              <w:widowControl/>
              <w:spacing w:line="360" w:lineRule="auto"/>
              <w:jc w:val="center"/>
              <w:textAlignment w:val="baseline"/>
              <w:rPr>
                <w:rFonts w:ascii="宋体" w:hAnsi="宋体" w:cs="宋体"/>
                <w:szCs w:val="21"/>
              </w:rPr>
            </w:pPr>
            <w:r>
              <w:rPr>
                <w:rFonts w:hint="eastAsia" w:ascii="宋体" w:hAnsi="宋体" w:cs="宋体"/>
                <w:szCs w:val="21"/>
              </w:rPr>
              <w:t>8</w:t>
            </w:r>
          </w:p>
        </w:tc>
      </w:tr>
      <w:tr>
        <w:tblPrEx>
          <w:tblCellMar>
            <w:top w:w="0" w:type="dxa"/>
            <w:left w:w="108" w:type="dxa"/>
            <w:bottom w:w="0" w:type="dxa"/>
            <w:right w:w="108" w:type="dxa"/>
          </w:tblCellMar>
        </w:tblPrEx>
        <w:trPr>
          <w:trHeight w:val="450" w:hRule="atLeast"/>
          <w:jc w:val="center"/>
        </w:trPr>
        <w:tc>
          <w:tcPr>
            <w:tcW w:w="2831" w:type="dxa"/>
            <w:tcBorders>
              <w:top w:val="nil"/>
              <w:left w:val="single" w:color="auto" w:sz="4" w:space="0"/>
              <w:bottom w:val="single" w:color="auto" w:sz="4" w:space="0"/>
              <w:right w:val="single" w:color="auto" w:sz="4" w:space="0"/>
            </w:tcBorders>
            <w:vAlign w:val="center"/>
          </w:tcPr>
          <w:p>
            <w:pPr>
              <w:widowControl/>
              <w:spacing w:line="360" w:lineRule="auto"/>
              <w:jc w:val="center"/>
              <w:textAlignment w:val="baseline"/>
              <w:rPr>
                <w:rFonts w:ascii="宋体" w:hAnsi="宋体" w:cs="宋体"/>
                <w:szCs w:val="21"/>
              </w:rPr>
            </w:pPr>
            <w:r>
              <w:rPr>
                <w:rFonts w:hint="eastAsia" w:ascii="宋体" w:hAnsi="宋体" w:cs="宋体"/>
                <w:szCs w:val="21"/>
              </w:rPr>
              <w:t>&gt;5</w:t>
            </w:r>
          </w:p>
        </w:tc>
        <w:tc>
          <w:tcPr>
            <w:tcW w:w="6167" w:type="dxa"/>
            <w:tcBorders>
              <w:top w:val="nil"/>
              <w:left w:val="nil"/>
              <w:bottom w:val="single" w:color="auto" w:sz="4" w:space="0"/>
              <w:right w:val="single" w:color="auto" w:sz="4" w:space="0"/>
            </w:tcBorders>
            <w:vAlign w:val="center"/>
          </w:tcPr>
          <w:p>
            <w:pPr>
              <w:widowControl/>
              <w:spacing w:line="360" w:lineRule="auto"/>
              <w:jc w:val="center"/>
              <w:textAlignment w:val="baseline"/>
              <w:rPr>
                <w:rFonts w:ascii="宋体" w:hAnsi="宋体" w:cs="宋体"/>
                <w:szCs w:val="21"/>
              </w:rPr>
            </w:pPr>
            <w:r>
              <w:rPr>
                <w:rFonts w:hint="eastAsia" w:ascii="宋体" w:hAnsi="宋体" w:cs="宋体"/>
                <w:szCs w:val="21"/>
              </w:rPr>
              <w:t>每增加1个农村集体经济组织（以土地所有权证为准），服务费增加0.5万元。</w:t>
            </w:r>
          </w:p>
        </w:tc>
      </w:tr>
      <w:bookmarkEnd w:id="2"/>
    </w:tbl>
    <w:p>
      <w:pPr>
        <w:spacing w:line="360" w:lineRule="auto"/>
        <w:rPr>
          <w:rFonts w:hint="eastAsia" w:eastAsia="宋体"/>
          <w:b/>
          <w:bCs/>
          <w:sz w:val="24"/>
          <w:szCs w:val="24"/>
          <w:lang w:val="en-US" w:eastAsia="zh-CN"/>
        </w:rPr>
      </w:pPr>
    </w:p>
    <w:p>
      <w:pPr>
        <w:spacing w:line="360" w:lineRule="auto"/>
        <w:rPr>
          <w:rFonts w:hint="eastAsia" w:eastAsia="宋体"/>
          <w:b/>
          <w:bCs/>
          <w:sz w:val="24"/>
          <w:szCs w:val="24"/>
          <w:lang w:val="en-US" w:eastAsia="zh-CN"/>
        </w:rPr>
      </w:pPr>
      <w:r>
        <w:rPr>
          <w:rFonts w:hint="eastAsia" w:eastAsia="宋体"/>
          <w:b/>
          <w:bCs/>
          <w:sz w:val="24"/>
          <w:szCs w:val="24"/>
          <w:lang w:val="en-US" w:eastAsia="zh-CN"/>
        </w:rPr>
        <w:t>五、付款方式及验收要求</w:t>
      </w:r>
    </w:p>
    <w:p>
      <w:pPr>
        <w:spacing w:line="360" w:lineRule="auto"/>
        <w:rPr>
          <w:rFonts w:hint="eastAsia" w:eastAsia="宋体"/>
          <w:b/>
          <w:bCs/>
          <w:sz w:val="24"/>
          <w:szCs w:val="24"/>
          <w:lang w:val="en-US" w:eastAsia="zh-CN"/>
        </w:rPr>
      </w:pPr>
      <w:r>
        <w:rPr>
          <w:rFonts w:hint="eastAsia" w:eastAsia="宋体"/>
          <w:b/>
          <w:bCs/>
          <w:sz w:val="24"/>
          <w:szCs w:val="24"/>
          <w:lang w:val="en-US" w:eastAsia="zh-CN"/>
        </w:rPr>
        <w:t>1.付款方式</w:t>
      </w:r>
    </w:p>
    <w:p>
      <w:r>
        <w:rPr>
          <w:rFonts w:hint="eastAsia"/>
        </w:rPr>
        <w:t>（一）技术服务费：以中标单价进行结算，一季度结算一次。</w:t>
      </w:r>
    </w:p>
    <w:p>
      <w:r>
        <w:rPr>
          <w:rFonts w:hint="eastAsia"/>
        </w:rPr>
        <w:t>（二）具体支付方式和时间：</w:t>
      </w:r>
    </w:p>
    <w:p>
      <w:r>
        <w:rPr>
          <w:rFonts w:hint="eastAsia"/>
        </w:rPr>
        <w:t>在甲方收到相关工作成果并签收后，乙方向甲方提供项目工作量清单及有效票据，经甲方核实无误后进行结算，具体支付时间以财政审批付款时间为准。</w:t>
      </w:r>
    </w:p>
    <w:p>
      <w:pPr>
        <w:pStyle w:val="2"/>
        <w:numPr>
          <w:numId w:val="0"/>
        </w:numPr>
        <w:rPr>
          <w:rFonts w:hint="eastAsia"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（三）</w:t>
      </w:r>
      <w:r>
        <w:rPr>
          <w:rFonts w:hint="eastAsia" w:asciiTheme="minorHAnsi" w:hAnsiTheme="minorHAnsi" w:eastAsiaTheme="minorEastAsia" w:cstheme="minorBidi"/>
          <w:kern w:val="2"/>
          <w:sz w:val="21"/>
          <w:szCs w:val="24"/>
          <w:lang w:val="en-US" w:eastAsia="zh-CN" w:bidi="ar-SA"/>
        </w:rPr>
        <w:t>支付方式：采用银行转账形式。</w:t>
      </w:r>
    </w:p>
    <w:p>
      <w:pPr>
        <w:pStyle w:val="2"/>
        <w:numPr>
          <w:numId w:val="0"/>
        </w:numPr>
        <w:rPr>
          <w:rFonts w:hint="eastAsia" w:eastAsia="宋体" w:asciiTheme="minorHAnsi" w:hAnsiTheme="minorHAnsi" w:cstheme="minorBidi"/>
          <w:b/>
          <w:bCs/>
          <w:kern w:val="2"/>
          <w:sz w:val="24"/>
          <w:szCs w:val="24"/>
          <w:lang w:val="en-US" w:eastAsia="zh-CN" w:bidi="ar-SA"/>
        </w:rPr>
      </w:pPr>
      <w:r>
        <w:rPr>
          <w:rFonts w:hint="eastAsia" w:eastAsia="宋体" w:asciiTheme="minorHAnsi" w:hAnsiTheme="minorHAnsi" w:cstheme="minorBidi"/>
          <w:b/>
          <w:bCs/>
          <w:kern w:val="2"/>
          <w:sz w:val="24"/>
          <w:szCs w:val="24"/>
          <w:lang w:val="en-US" w:eastAsia="zh-CN" w:bidi="ar-SA"/>
        </w:rPr>
        <w:t>2.验收要求</w:t>
      </w:r>
    </w:p>
    <w:p>
      <w:r>
        <w:rPr>
          <w:rFonts w:hint="eastAsia"/>
        </w:rPr>
        <w:t>投标人应当按以下方式向采购人交付成果：</w:t>
      </w:r>
    </w:p>
    <w:p>
      <w:pPr>
        <w:ind w:firstLine="420" w:firstLineChars="200"/>
      </w:pPr>
      <w:r>
        <w:rPr>
          <w:rFonts w:hint="eastAsia"/>
        </w:rPr>
        <w:t>1）成果交付的形式及数量：包括文档成果、图件成果和电子光盘成果，提交数量及质量应能满足采购人上报各级政府部门要求；</w:t>
      </w:r>
    </w:p>
    <w:p>
      <w:pPr>
        <w:pStyle w:val="2"/>
        <w:numPr>
          <w:numId w:val="0"/>
        </w:numPr>
        <w:ind w:firstLine="420" w:firstLineChars="200"/>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2）成果验收方式：成果应满足征地项目社会稳定风险</w:t>
      </w:r>
      <w:r>
        <w:rPr>
          <w:rFonts w:hint="eastAsia" w:eastAsiaTheme="minorEastAsia" w:cstheme="minorBidi"/>
          <w:kern w:val="2"/>
          <w:sz w:val="21"/>
          <w:szCs w:val="24"/>
          <w:lang w:val="en-US" w:eastAsia="zh-CN" w:bidi="ar-SA"/>
        </w:rPr>
        <w:t>分析咨询</w:t>
      </w:r>
      <w:r>
        <w:rPr>
          <w:rFonts w:hint="eastAsia" w:asciiTheme="minorHAnsi" w:hAnsiTheme="minorHAnsi" w:eastAsiaTheme="minorEastAsia" w:cstheme="minorBidi"/>
          <w:kern w:val="2"/>
          <w:sz w:val="21"/>
          <w:szCs w:val="24"/>
          <w:lang w:val="en-US" w:eastAsia="zh-CN" w:bidi="ar-SA"/>
        </w:rPr>
        <w:t>要求，以采购人指定的验收方式为准。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ZjY3NmNiZjViZTNkMjA2YzdkMzA2NzhhOWQyNmUifQ=="/>
  </w:docVars>
  <w:rsids>
    <w:rsidRoot w:val="6D8A7542"/>
    <w:rsid w:val="6D8A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rPr>
  </w:style>
  <w:style w:type="paragraph" w:styleId="3">
    <w:name w:val="Body Text"/>
    <w:basedOn w:val="1"/>
    <w:qFormat/>
    <w:uiPriority w:val="0"/>
    <w:rPr>
      <w:sz w:val="18"/>
      <w:szCs w:val="2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2023-09-11T08:33:00Z</dcterms:created>
  <dc:creator>Lson.</dc:creator>
  <cp:lastModifiedBy>Lson.</cp:lastModifiedBy>
  <dcterms:modified xsi:type="dcterms:W3CDTF">2023-09-11T08:38:53Z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CD3E822A9BEE4517B9CE7F282E8312F3_11</vt:lpwstr>
  </property>
</Properties>
</file>