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8"/>
        <w:spacing w:line="640" w:lineRule="exact"/>
        <w:jc w:val="center"/>
        <w:rPr>
          <w:rFonts w:ascii="宋体" w:hAnsi="宋体" w:cs="华文中宋"/>
          <w:b/>
          <w:bCs/>
          <w:color w:val="auto"/>
          <w:sz w:val="52"/>
          <w:szCs w:val="52"/>
          <w:highlight w:val="none"/>
        </w:rPr>
      </w:pPr>
    </w:p>
    <w:p>
      <w:pPr>
        <w:pStyle w:val="78"/>
        <w:spacing w:line="640" w:lineRule="exact"/>
        <w:jc w:val="center"/>
        <w:rPr>
          <w:rFonts w:ascii="宋体" w:hAnsi="宋体" w:cs="华文中宋"/>
          <w:b/>
          <w:bCs/>
          <w:color w:val="auto"/>
          <w:sz w:val="52"/>
          <w:szCs w:val="52"/>
          <w:highlight w:val="none"/>
        </w:rPr>
      </w:pPr>
    </w:p>
    <w:p>
      <w:pPr>
        <w:pStyle w:val="78"/>
        <w:spacing w:line="640" w:lineRule="exact"/>
        <w:jc w:val="center"/>
        <w:rPr>
          <w:rFonts w:ascii="宋体" w:hAnsi="宋体" w:cs="华文中宋"/>
          <w:b/>
          <w:bCs/>
          <w:color w:val="auto"/>
          <w:sz w:val="52"/>
          <w:szCs w:val="52"/>
          <w:highlight w:val="none"/>
        </w:rPr>
      </w:pPr>
    </w:p>
    <w:p>
      <w:pPr>
        <w:pStyle w:val="78"/>
        <w:spacing w:line="640" w:lineRule="exact"/>
        <w:jc w:val="center"/>
        <w:rPr>
          <w:rFonts w:hint="eastAsia" w:ascii="宋体" w:hAnsi="宋体" w:cs="华文中宋"/>
          <w:b/>
          <w:bCs/>
          <w:color w:val="auto"/>
          <w:sz w:val="52"/>
          <w:szCs w:val="52"/>
          <w:highlight w:val="none"/>
        </w:rPr>
      </w:pPr>
      <w:r>
        <w:rPr>
          <w:rFonts w:hint="eastAsia" w:ascii="宋体" w:hAnsi="宋体" w:cs="华文中宋"/>
          <w:b/>
          <w:bCs/>
          <w:color w:val="auto"/>
          <w:sz w:val="52"/>
          <w:szCs w:val="52"/>
          <w:highlight w:val="none"/>
          <w:lang w:val="en-US" w:eastAsia="zh-CN"/>
        </w:rPr>
        <w:t>花都区老城区停车场改造项目(分项目三：</w:t>
      </w:r>
      <w:bookmarkStart w:id="158" w:name="_GoBack"/>
      <w:r>
        <w:rPr>
          <w:rFonts w:hint="eastAsia" w:ascii="宋体" w:hAnsi="宋体" w:cs="华文中宋"/>
          <w:b/>
          <w:bCs/>
          <w:color w:val="auto"/>
          <w:sz w:val="52"/>
          <w:szCs w:val="52"/>
          <w:highlight w:val="none"/>
          <w:lang w:val="en-US" w:eastAsia="zh-CN"/>
        </w:rPr>
        <w:t>花都区老干部活动中心项目</w:t>
      </w:r>
      <w:bookmarkEnd w:id="158"/>
      <w:r>
        <w:rPr>
          <w:rFonts w:hint="eastAsia" w:ascii="宋体" w:hAnsi="宋体" w:cs="华文中宋"/>
          <w:b/>
          <w:bCs/>
          <w:color w:val="auto"/>
          <w:sz w:val="52"/>
          <w:szCs w:val="52"/>
          <w:highlight w:val="none"/>
          <w:lang w:val="en-US" w:eastAsia="zh-CN"/>
        </w:rPr>
        <w:t>)</w:t>
      </w:r>
    </w:p>
    <w:p>
      <w:pPr>
        <w:pStyle w:val="78"/>
        <w:spacing w:line="640" w:lineRule="exact"/>
        <w:jc w:val="center"/>
        <w:rPr>
          <w:rFonts w:ascii="宋体" w:hAnsi="宋体"/>
          <w:b/>
          <w:bCs/>
          <w:color w:val="auto"/>
          <w:sz w:val="52"/>
          <w:szCs w:val="52"/>
          <w:highlight w:val="none"/>
        </w:rPr>
      </w:pPr>
      <w:r>
        <w:rPr>
          <w:rFonts w:hint="eastAsia" w:ascii="宋体" w:hAnsi="宋体" w:cs="华文中宋"/>
          <w:b/>
          <w:bCs/>
          <w:color w:val="auto"/>
          <w:sz w:val="52"/>
          <w:szCs w:val="52"/>
          <w:highlight w:val="none"/>
          <w:lang w:val="en-US" w:eastAsia="zh-CN"/>
        </w:rPr>
        <w:t>检测、监测</w:t>
      </w:r>
      <w:r>
        <w:rPr>
          <w:rFonts w:hint="eastAsia" w:ascii="宋体" w:hAnsi="宋体" w:cs="华文中宋"/>
          <w:b/>
          <w:bCs/>
          <w:color w:val="auto"/>
          <w:sz w:val="52"/>
          <w:szCs w:val="52"/>
          <w:highlight w:val="none"/>
        </w:rPr>
        <w:t>技术服务合同</w:t>
      </w:r>
    </w:p>
    <w:p>
      <w:pPr>
        <w:pStyle w:val="78"/>
        <w:spacing w:line="640" w:lineRule="exact"/>
        <w:ind w:left="260" w:leftChars="124" w:firstLine="835" w:firstLineChars="160"/>
        <w:rPr>
          <w:rFonts w:ascii="宋体" w:hAnsi="宋体"/>
          <w:b/>
          <w:bCs/>
          <w:color w:val="auto"/>
          <w:sz w:val="52"/>
          <w:szCs w:val="52"/>
          <w:highlight w:val="none"/>
        </w:rPr>
      </w:pPr>
    </w:p>
    <w:p>
      <w:pPr>
        <w:spacing w:line="640" w:lineRule="exact"/>
        <w:ind w:firstLine="2352" w:firstLineChars="735"/>
        <w:rPr>
          <w:rFonts w:ascii="仿宋" w:hAnsi="仿宋" w:eastAsia="仿宋" w:cs="Times New Roman"/>
          <w:sz w:val="32"/>
          <w:szCs w:val="32"/>
          <w:highlight w:val="none"/>
        </w:rPr>
      </w:pPr>
    </w:p>
    <w:p>
      <w:pPr>
        <w:spacing w:line="640" w:lineRule="exact"/>
        <w:jc w:val="center"/>
        <w:rPr>
          <w:rFonts w:ascii="仿宋" w:hAnsi="仿宋" w:eastAsia="仿宋" w:cs="Times New Roman"/>
          <w:sz w:val="32"/>
          <w:szCs w:val="32"/>
          <w:highlight w:val="none"/>
        </w:rPr>
      </w:pPr>
    </w:p>
    <w:p>
      <w:pPr>
        <w:spacing w:line="360" w:lineRule="auto"/>
        <w:ind w:firstLine="420" w:firstLineChars="150"/>
        <w:rPr>
          <w:rFonts w:hint="eastAsia" w:ascii="宋体" w:hAnsi="宋体" w:cs="仿宋"/>
          <w:sz w:val="28"/>
          <w:szCs w:val="28"/>
          <w:highlight w:val="none"/>
        </w:rPr>
      </w:pPr>
    </w:p>
    <w:p>
      <w:pPr>
        <w:spacing w:line="360" w:lineRule="auto"/>
        <w:ind w:firstLine="420" w:firstLineChars="150"/>
        <w:rPr>
          <w:rFonts w:hint="eastAsia" w:ascii="宋体" w:hAnsi="宋体" w:cs="仿宋"/>
          <w:sz w:val="28"/>
          <w:szCs w:val="28"/>
          <w:highlight w:val="none"/>
        </w:rPr>
      </w:pPr>
    </w:p>
    <w:p>
      <w:pPr>
        <w:spacing w:line="360" w:lineRule="auto"/>
        <w:ind w:firstLine="420" w:firstLineChars="150"/>
        <w:rPr>
          <w:rFonts w:hint="eastAsia" w:ascii="宋体" w:hAnsi="宋体" w:cs="仿宋"/>
          <w:sz w:val="28"/>
          <w:szCs w:val="28"/>
          <w:highlight w:val="none"/>
        </w:rPr>
      </w:pPr>
    </w:p>
    <w:p>
      <w:pPr>
        <w:spacing w:line="360" w:lineRule="auto"/>
        <w:ind w:firstLine="420" w:firstLineChars="1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工程名称：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pPr>
        <w:spacing w:line="360" w:lineRule="auto"/>
        <w:ind w:firstLine="420" w:firstLineChars="15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委托</w:t>
      </w:r>
      <w:r>
        <w:rPr>
          <w:rFonts w:hint="eastAsia" w:ascii="仿宋_GB2312" w:hAnsi="仿宋_GB2312" w:eastAsia="仿宋_GB2312" w:cs="仿宋_GB2312"/>
          <w:sz w:val="28"/>
          <w:szCs w:val="28"/>
          <w:highlight w:val="none"/>
          <w:lang w:val="en-US" w:eastAsia="zh-CN"/>
        </w:rPr>
        <w:t>单位</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p>
    <w:p>
      <w:pPr>
        <w:pStyle w:val="13"/>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委托</w:t>
      </w:r>
      <w:r>
        <w:rPr>
          <w:rFonts w:hint="eastAsia" w:ascii="仿宋_GB2312" w:hAnsi="仿宋_GB2312" w:eastAsia="仿宋_GB2312" w:cs="仿宋_GB2312"/>
          <w:sz w:val="28"/>
          <w:szCs w:val="28"/>
          <w:highlight w:val="none"/>
          <w:lang w:val="en-US" w:eastAsia="zh-CN"/>
        </w:rPr>
        <w:t>单位</w:t>
      </w:r>
      <w:r>
        <w:rPr>
          <w:rFonts w:hint="eastAsia" w:ascii="仿宋_GB2312" w:hAnsi="仿宋_GB2312" w:eastAsia="仿宋_GB2312" w:cs="仿宋_GB2312"/>
          <w:kern w:val="2"/>
          <w:sz w:val="28"/>
          <w:szCs w:val="28"/>
          <w:highlight w:val="none"/>
          <w:lang w:val="en-US" w:eastAsia="zh-CN" w:bidi="ar-SA"/>
        </w:rPr>
        <w:t>合同编号：</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p>
    <w:p>
      <w:pPr>
        <w:spacing w:line="360" w:lineRule="auto"/>
        <w:ind w:firstLine="420" w:firstLineChars="15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lang w:val="en-US" w:eastAsia="zh-CN"/>
        </w:rPr>
        <w:t>检测单位</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p>
    <w:p>
      <w:pPr>
        <w:pStyle w:val="13"/>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检测单位</w:t>
      </w:r>
      <w:r>
        <w:rPr>
          <w:rFonts w:hint="eastAsia" w:ascii="仿宋_GB2312" w:hAnsi="仿宋_GB2312" w:eastAsia="仿宋_GB2312" w:cs="仿宋_GB2312"/>
          <w:kern w:val="2"/>
          <w:sz w:val="28"/>
          <w:szCs w:val="28"/>
          <w:highlight w:val="none"/>
          <w:lang w:val="en-US" w:eastAsia="zh-CN" w:bidi="ar-SA"/>
        </w:rPr>
        <w:t xml:space="preserve">合同编号： </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p>
    <w:p>
      <w:pPr>
        <w:pStyle w:val="13"/>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kern w:val="2"/>
          <w:sz w:val="28"/>
          <w:szCs w:val="28"/>
          <w:highlight w:val="none"/>
          <w:lang w:val="en-US" w:eastAsia="zh-CN" w:bidi="ar-SA"/>
        </w:rPr>
        <w:t>签订地点：</w:t>
      </w:r>
      <w:r>
        <w:rPr>
          <w:rFonts w:hint="eastAsia" w:ascii="仿宋_GB2312" w:hAnsi="仿宋_GB2312" w:eastAsia="仿宋_GB2312" w:cs="仿宋_GB2312"/>
          <w:sz w:val="28"/>
          <w:szCs w:val="28"/>
          <w:highlight w:val="none"/>
          <w:u w:val="single"/>
          <w:lang w:val="en-US" w:eastAsia="zh-CN"/>
        </w:rPr>
        <w:t>广州市</w:t>
      </w:r>
      <w:r>
        <w:rPr>
          <w:rFonts w:hint="eastAsia" w:ascii="仿宋_GB2312" w:hAnsi="仿宋_GB2312" w:eastAsia="仿宋_GB2312" w:cs="仿宋_GB2312"/>
          <w:sz w:val="28"/>
          <w:szCs w:val="28"/>
          <w:highlight w:val="none"/>
          <w:u w:val="single"/>
        </w:rPr>
        <w:t xml:space="preserve">花都区                      </w:t>
      </w:r>
    </w:p>
    <w:p>
      <w:pPr>
        <w:pStyle w:val="13"/>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签订日期：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r>
        <w:rPr>
          <w:rFonts w:hint="eastAsia" w:ascii="仿宋_GB2312" w:hAnsi="仿宋_GB2312" w:eastAsia="仿宋_GB2312" w:cs="仿宋_GB2312"/>
          <w:b/>
          <w:bCs/>
          <w:color w:val="000000"/>
          <w:kern w:val="2"/>
          <w:sz w:val="28"/>
          <w:szCs w:val="28"/>
          <w:highlight w:val="none"/>
          <w:lang w:val="en-US" w:eastAsia="zh-CN" w:bidi="ar"/>
        </w:rPr>
        <w:t>年</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r>
        <w:rPr>
          <w:rFonts w:hint="eastAsia" w:ascii="仿宋_GB2312" w:hAnsi="仿宋_GB2312" w:eastAsia="仿宋_GB2312" w:cs="仿宋_GB2312"/>
          <w:b/>
          <w:bCs/>
          <w:color w:val="000000"/>
          <w:kern w:val="2"/>
          <w:sz w:val="28"/>
          <w:szCs w:val="28"/>
          <w:highlight w:val="none"/>
          <w:lang w:val="en-US" w:eastAsia="zh-CN" w:bidi="ar"/>
        </w:rPr>
        <w:t>月</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r>
        <w:rPr>
          <w:rFonts w:hint="eastAsia" w:ascii="仿宋_GB2312" w:hAnsi="仿宋_GB2312" w:eastAsia="仿宋_GB2312" w:cs="仿宋_GB2312"/>
          <w:b/>
          <w:bCs/>
          <w:color w:val="000000"/>
          <w:kern w:val="2"/>
          <w:sz w:val="28"/>
          <w:szCs w:val="28"/>
          <w:highlight w:val="none"/>
          <w:lang w:val="en-US" w:eastAsia="zh-CN" w:bidi="ar"/>
        </w:rPr>
        <w:t>日</w:t>
      </w:r>
    </w:p>
    <w:p>
      <w:pPr>
        <w:spacing w:line="360" w:lineRule="auto"/>
        <w:jc w:val="center"/>
        <w:rPr>
          <w:rFonts w:ascii="仿宋" w:hAnsi="仿宋" w:eastAsia="仿宋" w:cs="Times New Roman"/>
          <w:sz w:val="32"/>
          <w:szCs w:val="32"/>
          <w:highlight w:val="none"/>
        </w:rPr>
      </w:pPr>
    </w:p>
    <w:p>
      <w:pPr>
        <w:pStyle w:val="31"/>
        <w:tabs>
          <w:tab w:val="clear" w:pos="9639"/>
        </w:tabs>
        <w:spacing w:before="120" w:after="120" w:line="240" w:lineRule="auto"/>
        <w:ind w:left="0" w:leftChars="0" w:right="0" w:rightChars="0"/>
        <w:rPr>
          <w:rFonts w:ascii="Calibri" w:hAnsi="Calibri" w:eastAsia="宋体" w:cs="Times New Roman"/>
          <w:b/>
          <w:bCs/>
          <w:caps/>
          <w:spacing w:val="0"/>
          <w:sz w:val="36"/>
          <w:szCs w:val="36"/>
          <w:highlight w:val="none"/>
        </w:rPr>
      </w:pPr>
    </w:p>
    <w:p>
      <w:pPr>
        <w:pStyle w:val="31"/>
        <w:tabs>
          <w:tab w:val="clear" w:pos="9639"/>
        </w:tabs>
        <w:spacing w:before="120" w:after="120" w:line="240" w:lineRule="auto"/>
        <w:ind w:left="0" w:leftChars="0" w:right="0" w:rightChars="0"/>
        <w:rPr>
          <w:rFonts w:hint="eastAsia" w:ascii="Calibri" w:hAnsi="Calibri" w:eastAsia="宋体" w:cs="Times New Roman"/>
          <w:b/>
          <w:bCs/>
          <w:caps/>
          <w:spacing w:val="0"/>
          <w:sz w:val="36"/>
          <w:szCs w:val="36"/>
          <w:highlight w:val="none"/>
        </w:rPr>
      </w:pPr>
    </w:p>
    <w:p>
      <w:pPr>
        <w:pStyle w:val="31"/>
        <w:tabs>
          <w:tab w:val="clear" w:pos="9639"/>
        </w:tabs>
        <w:spacing w:before="120" w:after="120" w:line="240" w:lineRule="auto"/>
        <w:ind w:left="0" w:leftChars="0" w:right="0" w:rightChars="0"/>
        <w:rPr>
          <w:rFonts w:hint="eastAsia" w:ascii="Calibri" w:hAnsi="Calibri" w:eastAsia="宋体" w:cs="Times New Roman"/>
          <w:b/>
          <w:bCs/>
          <w:caps/>
          <w:spacing w:val="0"/>
          <w:sz w:val="36"/>
          <w:szCs w:val="36"/>
          <w:highlight w:val="none"/>
        </w:rPr>
      </w:pPr>
    </w:p>
    <w:p>
      <w:pPr>
        <w:pStyle w:val="31"/>
        <w:tabs>
          <w:tab w:val="clear" w:pos="9639"/>
        </w:tabs>
        <w:spacing w:before="120" w:after="120" w:line="240" w:lineRule="auto"/>
        <w:ind w:left="0" w:leftChars="0" w:right="0" w:rightChars="0"/>
        <w:rPr>
          <w:rFonts w:hint="eastAsia" w:ascii="Calibri" w:hAnsi="Calibri" w:eastAsia="宋体" w:cs="Times New Roman"/>
          <w:b/>
          <w:bCs/>
          <w:caps/>
          <w:spacing w:val="0"/>
          <w:sz w:val="36"/>
          <w:szCs w:val="36"/>
          <w:highlight w:val="none"/>
        </w:rPr>
      </w:pPr>
    </w:p>
    <w:p>
      <w:pPr>
        <w:pStyle w:val="31"/>
        <w:tabs>
          <w:tab w:val="clear" w:pos="9639"/>
        </w:tabs>
        <w:spacing w:before="120" w:after="120" w:line="240" w:lineRule="auto"/>
        <w:ind w:left="0" w:leftChars="0" w:right="0" w:rightChars="0"/>
        <w:rPr>
          <w:rFonts w:cs="Times New Roman"/>
          <w:sz w:val="32"/>
          <w:szCs w:val="32"/>
          <w:highlight w:val="none"/>
        </w:rPr>
      </w:pPr>
      <w:r>
        <w:rPr>
          <w:rFonts w:hint="eastAsia" w:ascii="Calibri" w:hAnsi="Calibri" w:eastAsia="宋体" w:cs="Times New Roman"/>
          <w:b/>
          <w:bCs/>
          <w:caps/>
          <w:spacing w:val="0"/>
          <w:sz w:val="36"/>
          <w:szCs w:val="36"/>
          <w:highlight w:val="none"/>
        </w:rPr>
        <w:t>目   录</w:t>
      </w:r>
    </w:p>
    <w:p>
      <w:pPr>
        <w:pStyle w:val="31"/>
        <w:rPr>
          <w:sz w:val="21"/>
          <w:szCs w:val="21"/>
          <w:highlight w:val="none"/>
        </w:rPr>
      </w:pPr>
      <w:r>
        <w:rPr>
          <w:sz w:val="21"/>
          <w:szCs w:val="21"/>
          <w:highlight w:val="none"/>
        </w:rPr>
        <w:fldChar w:fldCharType="begin"/>
      </w:r>
      <w:r>
        <w:rPr>
          <w:sz w:val="21"/>
          <w:szCs w:val="21"/>
          <w:highlight w:val="none"/>
        </w:rPr>
        <w:instrText xml:space="preserve"> TOC \o "1-3" \h \z \u </w:instrText>
      </w:r>
      <w:r>
        <w:rPr>
          <w:sz w:val="21"/>
          <w:szCs w:val="21"/>
          <w:highlight w:val="none"/>
        </w:rPr>
        <w:fldChar w:fldCharType="separate"/>
      </w:r>
    </w:p>
    <w:p>
      <w:pPr>
        <w:pStyle w:val="106"/>
        <w:tabs>
          <w:tab w:val="right" w:leader="dot" w:pos="8306"/>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"_Toc13886" </w:instrText>
      </w:r>
      <w:r>
        <w:rPr>
          <w:highlight w:val="none"/>
        </w:rPr>
        <w:fldChar w:fldCharType="separate"/>
      </w:r>
      <w:r>
        <w:rPr>
          <w:rFonts w:hint="eastAsia" w:hAnsi="宋体"/>
          <w:kern w:val="2"/>
          <w:szCs w:val="22"/>
          <w:highlight w:val="none"/>
        </w:rPr>
        <w:t>第一部分协议书</w:t>
      </w:r>
      <w:r>
        <w:rPr>
          <w:highlight w:val="none"/>
        </w:rPr>
        <w:tab/>
      </w:r>
      <w:r>
        <w:rPr>
          <w:highlight w:val="none"/>
        </w:rPr>
        <w:fldChar w:fldCharType="begin"/>
      </w:r>
      <w:r>
        <w:rPr>
          <w:highlight w:val="none"/>
        </w:rPr>
        <w:instrText xml:space="preserve"> PAGEREF _Toc13886 \h </w:instrText>
      </w:r>
      <w:r>
        <w:rPr>
          <w:highlight w:val="none"/>
        </w:rPr>
        <w:fldChar w:fldCharType="separate"/>
      </w:r>
      <w:r>
        <w:rPr>
          <w:highlight w:val="none"/>
        </w:rPr>
        <w:t>4</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"_Toc476" </w:instrText>
      </w:r>
      <w:r>
        <w:rPr>
          <w:highlight w:val="none"/>
        </w:rPr>
        <w:fldChar w:fldCharType="separate"/>
      </w:r>
      <w:r>
        <w:rPr>
          <w:rFonts w:hint="eastAsia" w:ascii="仿宋" w:hAnsi="仿宋" w:eastAsia="仿宋" w:cs="仿宋"/>
          <w:highlight w:val="none"/>
        </w:rPr>
        <w:t>一、工程概况</w:t>
      </w:r>
      <w:r>
        <w:rPr>
          <w:highlight w:val="none"/>
        </w:rPr>
        <w:tab/>
      </w:r>
      <w:r>
        <w:rPr>
          <w:highlight w:val="none"/>
        </w:rPr>
        <w:fldChar w:fldCharType="begin"/>
      </w:r>
      <w:r>
        <w:rPr>
          <w:highlight w:val="none"/>
        </w:rPr>
        <w:instrText xml:space="preserve"> PAGEREF _Toc476 \h </w:instrText>
      </w:r>
      <w:r>
        <w:rPr>
          <w:highlight w:val="none"/>
        </w:rPr>
        <w:fldChar w:fldCharType="separate"/>
      </w:r>
      <w:r>
        <w:rPr>
          <w:highlight w:val="none"/>
        </w:rPr>
        <w:t>4</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_Toc25600 </w:instrText>
      </w:r>
      <w:r>
        <w:rPr>
          <w:highlight w:val="none"/>
        </w:rPr>
        <w:fldChar w:fldCharType="separate"/>
      </w:r>
      <w:r>
        <w:rPr>
          <w:rFonts w:hint="eastAsia" w:ascii="仿宋" w:hAnsi="仿宋" w:eastAsia="仿宋" w:cs="仿宋"/>
          <w:highlight w:val="none"/>
        </w:rPr>
        <w:t>二、服务范围及工作内容</w:t>
      </w:r>
      <w:r>
        <w:rPr>
          <w:highlight w:val="none"/>
        </w:rPr>
        <w:tab/>
      </w:r>
      <w:r>
        <w:rPr>
          <w:highlight w:val="none"/>
        </w:rPr>
        <w:fldChar w:fldCharType="begin"/>
      </w:r>
      <w:r>
        <w:rPr>
          <w:highlight w:val="none"/>
        </w:rPr>
        <w:instrText xml:space="preserve"> PAGEREF _Toc25600 \h </w:instrText>
      </w:r>
      <w:r>
        <w:rPr>
          <w:highlight w:val="none"/>
        </w:rPr>
        <w:fldChar w:fldCharType="separate"/>
      </w:r>
      <w:r>
        <w:rPr>
          <w:highlight w:val="none"/>
        </w:rPr>
        <w:t>4</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_Toc14219 </w:instrText>
      </w:r>
      <w:r>
        <w:rPr>
          <w:highlight w:val="none"/>
        </w:rPr>
        <w:fldChar w:fldCharType="separate"/>
      </w:r>
      <w:r>
        <w:rPr>
          <w:rFonts w:hint="eastAsia" w:ascii="仿宋" w:hAnsi="仿宋" w:eastAsia="仿宋" w:cs="仿宋"/>
          <w:highlight w:val="none"/>
        </w:rPr>
        <w:t>三、服务期限</w:t>
      </w:r>
      <w:r>
        <w:rPr>
          <w:highlight w:val="none"/>
        </w:rPr>
        <w:tab/>
      </w:r>
      <w:r>
        <w:rPr>
          <w:highlight w:val="none"/>
        </w:rPr>
        <w:fldChar w:fldCharType="begin"/>
      </w:r>
      <w:r>
        <w:rPr>
          <w:highlight w:val="none"/>
        </w:rPr>
        <w:instrText xml:space="preserve"> PAGEREF _Toc14219 \h </w:instrText>
      </w:r>
      <w:r>
        <w:rPr>
          <w:highlight w:val="none"/>
        </w:rPr>
        <w:fldChar w:fldCharType="separate"/>
      </w:r>
      <w:r>
        <w:rPr>
          <w:highlight w:val="none"/>
        </w:rPr>
        <w:t>7</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_Toc13363 </w:instrText>
      </w:r>
      <w:r>
        <w:rPr>
          <w:highlight w:val="none"/>
        </w:rPr>
        <w:fldChar w:fldCharType="separate"/>
      </w:r>
      <w:r>
        <w:rPr>
          <w:rFonts w:hint="eastAsia" w:ascii="仿宋" w:hAnsi="仿宋" w:eastAsia="仿宋" w:cs="仿宋"/>
          <w:highlight w:val="none"/>
        </w:rPr>
        <w:t>四、检测费用及计算方式</w:t>
      </w:r>
      <w:r>
        <w:rPr>
          <w:highlight w:val="none"/>
        </w:rPr>
        <w:tab/>
      </w:r>
      <w:r>
        <w:rPr>
          <w:highlight w:val="none"/>
        </w:rPr>
        <w:fldChar w:fldCharType="begin"/>
      </w:r>
      <w:r>
        <w:rPr>
          <w:highlight w:val="none"/>
        </w:rPr>
        <w:instrText xml:space="preserve"> PAGEREF _Toc13363 \h </w:instrText>
      </w:r>
      <w:r>
        <w:rPr>
          <w:highlight w:val="none"/>
        </w:rPr>
        <w:fldChar w:fldCharType="separate"/>
      </w:r>
      <w:r>
        <w:rPr>
          <w:highlight w:val="none"/>
        </w:rPr>
        <w:t>7</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_Toc26831 </w:instrText>
      </w:r>
      <w:r>
        <w:rPr>
          <w:highlight w:val="none"/>
        </w:rPr>
        <w:fldChar w:fldCharType="separate"/>
      </w:r>
      <w:r>
        <w:rPr>
          <w:rFonts w:hint="eastAsia" w:ascii="仿宋" w:hAnsi="仿宋" w:eastAsia="仿宋" w:cs="仿宋"/>
          <w:highlight w:val="none"/>
        </w:rPr>
        <w:t>五、合同文件的构成</w:t>
      </w:r>
      <w:r>
        <w:rPr>
          <w:highlight w:val="none"/>
        </w:rPr>
        <w:tab/>
      </w:r>
      <w:r>
        <w:rPr>
          <w:highlight w:val="none"/>
        </w:rPr>
        <w:fldChar w:fldCharType="begin"/>
      </w:r>
      <w:r>
        <w:rPr>
          <w:highlight w:val="none"/>
        </w:rPr>
        <w:instrText xml:space="preserve"> PAGEREF _Toc26831 \h </w:instrText>
      </w:r>
      <w:r>
        <w:rPr>
          <w:highlight w:val="none"/>
        </w:rPr>
        <w:fldChar w:fldCharType="separate"/>
      </w:r>
      <w:r>
        <w:rPr>
          <w:highlight w:val="none"/>
        </w:rPr>
        <w:t>7</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_Toc23023 </w:instrText>
      </w:r>
      <w:r>
        <w:rPr>
          <w:highlight w:val="none"/>
        </w:rPr>
        <w:fldChar w:fldCharType="separate"/>
      </w:r>
      <w:r>
        <w:rPr>
          <w:rFonts w:hint="eastAsia" w:ascii="仿宋" w:hAnsi="仿宋" w:eastAsia="仿宋" w:cs="仿宋"/>
          <w:highlight w:val="none"/>
        </w:rPr>
        <w:t>六、词语定义</w:t>
      </w:r>
      <w:r>
        <w:rPr>
          <w:highlight w:val="none"/>
        </w:rPr>
        <w:tab/>
      </w:r>
      <w:r>
        <w:rPr>
          <w:highlight w:val="none"/>
        </w:rPr>
        <w:fldChar w:fldCharType="begin"/>
      </w:r>
      <w:r>
        <w:rPr>
          <w:highlight w:val="none"/>
        </w:rPr>
        <w:instrText xml:space="preserve"> PAGEREF _Toc23023 \h </w:instrText>
      </w:r>
      <w:r>
        <w:rPr>
          <w:highlight w:val="none"/>
        </w:rPr>
        <w:fldChar w:fldCharType="separate"/>
      </w:r>
      <w:r>
        <w:rPr>
          <w:highlight w:val="none"/>
        </w:rPr>
        <w:t>8</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_Toc28068 </w:instrText>
      </w:r>
      <w:r>
        <w:rPr>
          <w:highlight w:val="none"/>
        </w:rPr>
        <w:fldChar w:fldCharType="separate"/>
      </w:r>
      <w:r>
        <w:rPr>
          <w:rFonts w:hint="eastAsia" w:ascii="仿宋" w:hAnsi="仿宋" w:eastAsia="仿宋" w:cs="仿宋"/>
          <w:highlight w:val="none"/>
        </w:rPr>
        <w:t>七、合同生效</w:t>
      </w:r>
      <w:r>
        <w:rPr>
          <w:highlight w:val="none"/>
        </w:rPr>
        <w:tab/>
      </w:r>
      <w:r>
        <w:rPr>
          <w:highlight w:val="none"/>
        </w:rPr>
        <w:fldChar w:fldCharType="begin"/>
      </w:r>
      <w:r>
        <w:rPr>
          <w:highlight w:val="none"/>
        </w:rPr>
        <w:instrText xml:space="preserve"> PAGEREF _Toc28068 \h </w:instrText>
      </w:r>
      <w:r>
        <w:rPr>
          <w:highlight w:val="none"/>
        </w:rPr>
        <w:fldChar w:fldCharType="separate"/>
      </w:r>
      <w:r>
        <w:rPr>
          <w:highlight w:val="none"/>
        </w:rPr>
        <w:t>8</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_Toc377 </w:instrText>
      </w:r>
      <w:r>
        <w:rPr>
          <w:highlight w:val="none"/>
        </w:rPr>
        <w:fldChar w:fldCharType="separate"/>
      </w:r>
      <w:r>
        <w:rPr>
          <w:rFonts w:hint="eastAsia" w:ascii="仿宋" w:hAnsi="仿宋" w:eastAsia="仿宋" w:cs="仿宋"/>
          <w:highlight w:val="none"/>
        </w:rPr>
        <w:t>八、合同份数</w:t>
      </w:r>
      <w:r>
        <w:rPr>
          <w:highlight w:val="none"/>
        </w:rPr>
        <w:tab/>
      </w:r>
      <w:r>
        <w:rPr>
          <w:highlight w:val="none"/>
        </w:rPr>
        <w:fldChar w:fldCharType="begin"/>
      </w:r>
      <w:r>
        <w:rPr>
          <w:highlight w:val="none"/>
        </w:rPr>
        <w:instrText xml:space="preserve"> PAGEREF _Toc377 \h </w:instrText>
      </w:r>
      <w:r>
        <w:rPr>
          <w:highlight w:val="none"/>
        </w:rPr>
        <w:fldChar w:fldCharType="separate"/>
      </w:r>
      <w:r>
        <w:rPr>
          <w:highlight w:val="none"/>
        </w:rPr>
        <w:t>8</w:t>
      </w:r>
      <w:r>
        <w:rPr>
          <w:highlight w:val="none"/>
        </w:rPr>
        <w:fldChar w:fldCharType="end"/>
      </w:r>
      <w:r>
        <w:rPr>
          <w:highlight w:val="none"/>
        </w:rPr>
        <w:fldChar w:fldCharType="end"/>
      </w:r>
    </w:p>
    <w:p>
      <w:pPr>
        <w:pStyle w:val="106"/>
        <w:tabs>
          <w:tab w:val="right" w:leader="dot" w:pos="8306"/>
        </w:tabs>
        <w:rPr>
          <w:highlight w:val="none"/>
        </w:rPr>
      </w:pPr>
      <w:r>
        <w:rPr>
          <w:highlight w:val="none"/>
        </w:rPr>
        <w:fldChar w:fldCharType="begin"/>
      </w:r>
      <w:r>
        <w:rPr>
          <w:highlight w:val="none"/>
        </w:rPr>
        <w:instrText xml:space="preserve"> HYPERLINK \l "_Toc3208" </w:instrText>
      </w:r>
      <w:r>
        <w:rPr>
          <w:highlight w:val="none"/>
        </w:rPr>
        <w:fldChar w:fldCharType="separate"/>
      </w:r>
      <w:r>
        <w:rPr>
          <w:rFonts w:hint="eastAsia" w:ascii="仿宋" w:hAnsi="仿宋" w:eastAsia="仿宋" w:cs="仿宋"/>
          <w:bCs/>
          <w:szCs w:val="36"/>
          <w:highlight w:val="none"/>
        </w:rPr>
        <w:t>第二部分  通用条款</w:t>
      </w:r>
      <w:r>
        <w:rPr>
          <w:highlight w:val="none"/>
        </w:rPr>
        <w:tab/>
      </w:r>
      <w:r>
        <w:rPr>
          <w:highlight w:val="none"/>
        </w:rPr>
        <w:fldChar w:fldCharType="begin"/>
      </w:r>
      <w:r>
        <w:rPr>
          <w:highlight w:val="none"/>
        </w:rPr>
        <w:instrText xml:space="preserve"> PAGEREF _Toc3208 \h </w:instrText>
      </w:r>
      <w:r>
        <w:rPr>
          <w:highlight w:val="none"/>
        </w:rPr>
        <w:fldChar w:fldCharType="separate"/>
      </w:r>
      <w:r>
        <w:rPr>
          <w:highlight w:val="none"/>
        </w:rPr>
        <w:t>10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"_Toc15715" </w:instrText>
      </w:r>
      <w:r>
        <w:rPr>
          <w:highlight w:val="none"/>
        </w:rPr>
        <w:fldChar w:fldCharType="separate"/>
      </w:r>
      <w:r>
        <w:rPr>
          <w:rFonts w:hint="eastAsia" w:ascii="仿宋" w:hAnsi="仿宋" w:eastAsia="仿宋" w:cs="仿宋"/>
          <w:szCs w:val="24"/>
          <w:highlight w:val="none"/>
        </w:rPr>
        <w:t>1. 词语定义、语言、解释顺序与适用法律</w:t>
      </w:r>
      <w:r>
        <w:rPr>
          <w:highlight w:val="none"/>
        </w:rPr>
        <w:tab/>
      </w:r>
      <w:r>
        <w:rPr>
          <w:highlight w:val="none"/>
        </w:rPr>
        <w:fldChar w:fldCharType="begin"/>
      </w:r>
      <w:r>
        <w:rPr>
          <w:highlight w:val="none"/>
        </w:rPr>
        <w:instrText xml:space="preserve"> PAGEREF _Toc15715 \h </w:instrText>
      </w:r>
      <w:r>
        <w:rPr>
          <w:highlight w:val="none"/>
        </w:rPr>
        <w:fldChar w:fldCharType="separate"/>
      </w:r>
      <w:r>
        <w:rPr>
          <w:highlight w:val="none"/>
        </w:rPr>
        <w:t>10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_Toc940 </w:instrText>
      </w:r>
      <w:r>
        <w:rPr>
          <w:highlight w:val="none"/>
        </w:rPr>
        <w:fldChar w:fldCharType="separate"/>
      </w:r>
      <w:r>
        <w:rPr>
          <w:rFonts w:hint="eastAsia" w:ascii="仿宋" w:hAnsi="仿宋" w:eastAsia="仿宋" w:cs="仿宋"/>
          <w:szCs w:val="24"/>
          <w:highlight w:val="none"/>
        </w:rPr>
        <w:t>1.1词语定义</w:t>
      </w:r>
      <w:r>
        <w:rPr>
          <w:highlight w:val="none"/>
        </w:rPr>
        <w:tab/>
      </w:r>
      <w:r>
        <w:rPr>
          <w:highlight w:val="none"/>
        </w:rPr>
        <w:fldChar w:fldCharType="begin"/>
      </w:r>
      <w:r>
        <w:rPr>
          <w:highlight w:val="none"/>
        </w:rPr>
        <w:instrText xml:space="preserve"> PAGEREF _Toc940 \h </w:instrText>
      </w:r>
      <w:r>
        <w:rPr>
          <w:highlight w:val="none"/>
        </w:rPr>
        <w:fldChar w:fldCharType="separate"/>
      </w:r>
      <w:r>
        <w:rPr>
          <w:highlight w:val="none"/>
        </w:rPr>
        <w:t>10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_Toc31089 </w:instrText>
      </w:r>
      <w:r>
        <w:rPr>
          <w:highlight w:val="none"/>
        </w:rPr>
        <w:fldChar w:fldCharType="separate"/>
      </w:r>
      <w:r>
        <w:rPr>
          <w:rFonts w:hint="eastAsia" w:ascii="仿宋" w:hAnsi="仿宋" w:eastAsia="仿宋" w:cs="仿宋"/>
          <w:szCs w:val="24"/>
          <w:highlight w:val="none"/>
        </w:rPr>
        <w:t>1.2语言</w:t>
      </w:r>
      <w:r>
        <w:rPr>
          <w:highlight w:val="none"/>
        </w:rPr>
        <w:tab/>
      </w:r>
      <w:r>
        <w:rPr>
          <w:highlight w:val="none"/>
        </w:rPr>
        <w:fldChar w:fldCharType="begin"/>
      </w:r>
      <w:r>
        <w:rPr>
          <w:highlight w:val="none"/>
        </w:rPr>
        <w:instrText xml:space="preserve"> PAGEREF _Toc31089 \h </w:instrText>
      </w:r>
      <w:r>
        <w:rPr>
          <w:highlight w:val="none"/>
        </w:rPr>
        <w:fldChar w:fldCharType="separate"/>
      </w:r>
      <w:r>
        <w:rPr>
          <w:highlight w:val="none"/>
        </w:rPr>
        <w:t>11</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_Toc1205 </w:instrText>
      </w:r>
      <w:r>
        <w:rPr>
          <w:highlight w:val="none"/>
        </w:rPr>
        <w:fldChar w:fldCharType="separate"/>
      </w:r>
      <w:r>
        <w:rPr>
          <w:rFonts w:hint="eastAsia" w:ascii="仿宋" w:hAnsi="仿宋" w:eastAsia="仿宋" w:cs="仿宋"/>
          <w:szCs w:val="24"/>
          <w:highlight w:val="none"/>
        </w:rPr>
        <w:t>★1.3合同文件的优先顺序</w:t>
      </w:r>
      <w:r>
        <w:rPr>
          <w:highlight w:val="none"/>
        </w:rPr>
        <w:tab/>
      </w:r>
      <w:r>
        <w:rPr>
          <w:highlight w:val="none"/>
        </w:rPr>
        <w:fldChar w:fldCharType="begin"/>
      </w:r>
      <w:r>
        <w:rPr>
          <w:highlight w:val="none"/>
        </w:rPr>
        <w:instrText xml:space="preserve"> PAGEREF _Toc1205 \h </w:instrText>
      </w:r>
      <w:r>
        <w:rPr>
          <w:highlight w:val="none"/>
        </w:rPr>
        <w:fldChar w:fldCharType="separate"/>
      </w:r>
      <w:r>
        <w:rPr>
          <w:highlight w:val="none"/>
        </w:rPr>
        <w:t>11</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_Toc2528 </w:instrText>
      </w:r>
      <w:r>
        <w:rPr>
          <w:highlight w:val="none"/>
        </w:rPr>
        <w:fldChar w:fldCharType="separate"/>
      </w:r>
      <w:r>
        <w:rPr>
          <w:rFonts w:hint="eastAsia" w:ascii="仿宋" w:hAnsi="仿宋" w:eastAsia="仿宋" w:cs="仿宋"/>
          <w:szCs w:val="24"/>
          <w:highlight w:val="none"/>
        </w:rPr>
        <w:t>1.4适用法律</w:t>
      </w:r>
      <w:r>
        <w:rPr>
          <w:highlight w:val="none"/>
        </w:rPr>
        <w:tab/>
      </w:r>
      <w:r>
        <w:rPr>
          <w:highlight w:val="none"/>
        </w:rPr>
        <w:fldChar w:fldCharType="begin"/>
      </w:r>
      <w:r>
        <w:rPr>
          <w:highlight w:val="none"/>
        </w:rPr>
        <w:instrText xml:space="preserve"> PAGEREF _Toc2528 \h </w:instrText>
      </w:r>
      <w:r>
        <w:rPr>
          <w:highlight w:val="none"/>
        </w:rPr>
        <w:fldChar w:fldCharType="separate"/>
      </w:r>
      <w:r>
        <w:rPr>
          <w:highlight w:val="none"/>
        </w:rPr>
        <w:t>12</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_Toc32620 </w:instrText>
      </w:r>
      <w:r>
        <w:rPr>
          <w:highlight w:val="none"/>
        </w:rPr>
        <w:fldChar w:fldCharType="separate"/>
      </w:r>
      <w:r>
        <w:rPr>
          <w:rFonts w:hint="eastAsia" w:ascii="仿宋" w:hAnsi="仿宋" w:eastAsia="仿宋" w:cs="仿宋"/>
          <w:szCs w:val="24"/>
          <w:highlight w:val="none"/>
        </w:rPr>
        <w:t>2. 甲方的权利、义务</w:t>
      </w:r>
      <w:r>
        <w:rPr>
          <w:highlight w:val="none"/>
        </w:rPr>
        <w:tab/>
      </w:r>
      <w:r>
        <w:rPr>
          <w:highlight w:val="none"/>
        </w:rPr>
        <w:fldChar w:fldCharType="begin"/>
      </w:r>
      <w:r>
        <w:rPr>
          <w:highlight w:val="none"/>
        </w:rPr>
        <w:instrText xml:space="preserve"> PAGEREF _Toc32620 \h </w:instrText>
      </w:r>
      <w:r>
        <w:rPr>
          <w:highlight w:val="none"/>
        </w:rPr>
        <w:fldChar w:fldCharType="separate"/>
      </w:r>
      <w:r>
        <w:rPr>
          <w:highlight w:val="none"/>
        </w:rPr>
        <w:t>12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_Toc25035 </w:instrText>
      </w:r>
      <w:r>
        <w:rPr>
          <w:highlight w:val="none"/>
        </w:rPr>
        <w:fldChar w:fldCharType="separate"/>
      </w:r>
      <w:r>
        <w:rPr>
          <w:rFonts w:hint="eastAsia" w:ascii="仿宋" w:hAnsi="仿宋" w:eastAsia="仿宋" w:cs="仿宋"/>
          <w:szCs w:val="24"/>
          <w:highlight w:val="none"/>
        </w:rPr>
        <w:t>2.1现场监督</w:t>
      </w:r>
      <w:r>
        <w:rPr>
          <w:highlight w:val="none"/>
        </w:rPr>
        <w:tab/>
      </w:r>
      <w:r>
        <w:rPr>
          <w:highlight w:val="none"/>
        </w:rPr>
        <w:fldChar w:fldCharType="begin"/>
      </w:r>
      <w:r>
        <w:rPr>
          <w:highlight w:val="none"/>
        </w:rPr>
        <w:instrText xml:space="preserve"> PAGEREF _Toc25035 \h </w:instrText>
      </w:r>
      <w:r>
        <w:rPr>
          <w:highlight w:val="none"/>
        </w:rPr>
        <w:fldChar w:fldCharType="separate"/>
      </w:r>
      <w:r>
        <w:rPr>
          <w:highlight w:val="none"/>
        </w:rPr>
        <w:t>12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_Toc15124 </w:instrText>
      </w:r>
      <w:r>
        <w:rPr>
          <w:highlight w:val="none"/>
        </w:rPr>
        <w:fldChar w:fldCharType="separate"/>
      </w:r>
      <w:r>
        <w:rPr>
          <w:rFonts w:hint="eastAsia" w:ascii="仿宋" w:hAnsi="仿宋" w:eastAsia="仿宋" w:cs="仿宋"/>
          <w:szCs w:val="24"/>
          <w:highlight w:val="none"/>
        </w:rPr>
        <w:t>★2.2提供资料和工作条件</w:t>
      </w:r>
      <w:r>
        <w:rPr>
          <w:highlight w:val="none"/>
        </w:rPr>
        <w:tab/>
      </w:r>
      <w:r>
        <w:rPr>
          <w:highlight w:val="none"/>
        </w:rPr>
        <w:fldChar w:fldCharType="begin"/>
      </w:r>
      <w:r>
        <w:rPr>
          <w:highlight w:val="none"/>
        </w:rPr>
        <w:instrText xml:space="preserve"> PAGEREF _Toc15124 \h </w:instrText>
      </w:r>
      <w:r>
        <w:rPr>
          <w:highlight w:val="none"/>
        </w:rPr>
        <w:fldChar w:fldCharType="separate"/>
      </w:r>
      <w:r>
        <w:rPr>
          <w:highlight w:val="none"/>
        </w:rPr>
        <w:t>12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_Toc4537 </w:instrText>
      </w:r>
      <w:r>
        <w:rPr>
          <w:highlight w:val="none"/>
        </w:rPr>
        <w:fldChar w:fldCharType="separate"/>
      </w:r>
      <w:r>
        <w:rPr>
          <w:rFonts w:hint="eastAsia" w:ascii="仿宋" w:hAnsi="仿宋" w:eastAsia="仿宋" w:cs="仿宋"/>
          <w:szCs w:val="24"/>
          <w:highlight w:val="none"/>
        </w:rPr>
        <w:t>★2.3成果确认及验收支付</w:t>
      </w:r>
      <w:r>
        <w:rPr>
          <w:highlight w:val="none"/>
        </w:rPr>
        <w:tab/>
      </w:r>
      <w:r>
        <w:rPr>
          <w:highlight w:val="none"/>
        </w:rPr>
        <w:fldChar w:fldCharType="begin"/>
      </w:r>
      <w:r>
        <w:rPr>
          <w:highlight w:val="none"/>
        </w:rPr>
        <w:instrText xml:space="preserve"> PAGEREF _Toc4537 \h </w:instrText>
      </w:r>
      <w:r>
        <w:rPr>
          <w:highlight w:val="none"/>
        </w:rPr>
        <w:fldChar w:fldCharType="separate"/>
      </w:r>
      <w:r>
        <w:rPr>
          <w:highlight w:val="none"/>
        </w:rPr>
        <w:t>13</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_Toc31546 </w:instrText>
      </w:r>
      <w:r>
        <w:rPr>
          <w:highlight w:val="none"/>
        </w:rPr>
        <w:fldChar w:fldCharType="separate"/>
      </w:r>
      <w:r>
        <w:rPr>
          <w:rFonts w:hint="eastAsia" w:ascii="仿宋" w:hAnsi="仿宋" w:eastAsia="仿宋" w:cs="仿宋"/>
          <w:szCs w:val="24"/>
          <w:highlight w:val="none"/>
        </w:rPr>
        <w:t>2.4 其它</w:t>
      </w:r>
      <w:r>
        <w:rPr>
          <w:highlight w:val="none"/>
        </w:rPr>
        <w:tab/>
      </w:r>
      <w:r>
        <w:rPr>
          <w:highlight w:val="none"/>
        </w:rPr>
        <w:fldChar w:fldCharType="begin"/>
      </w:r>
      <w:r>
        <w:rPr>
          <w:highlight w:val="none"/>
        </w:rPr>
        <w:instrText xml:space="preserve"> PAGEREF _Toc31546 \h </w:instrText>
      </w:r>
      <w:r>
        <w:rPr>
          <w:highlight w:val="none"/>
        </w:rPr>
        <w:fldChar w:fldCharType="separate"/>
      </w:r>
      <w:r>
        <w:rPr>
          <w:highlight w:val="none"/>
        </w:rPr>
        <w:t>13</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_Toc30620 </w:instrText>
      </w:r>
      <w:r>
        <w:rPr>
          <w:highlight w:val="none"/>
        </w:rPr>
        <w:fldChar w:fldCharType="separate"/>
      </w:r>
      <w:r>
        <w:rPr>
          <w:rFonts w:hint="eastAsia" w:ascii="仿宋" w:hAnsi="仿宋" w:eastAsia="仿宋" w:cs="仿宋"/>
          <w:szCs w:val="24"/>
          <w:highlight w:val="none"/>
        </w:rPr>
        <w:t>3.乙方的权利、义务</w:t>
      </w:r>
      <w:r>
        <w:rPr>
          <w:highlight w:val="none"/>
        </w:rPr>
        <w:tab/>
      </w:r>
      <w:r>
        <w:rPr>
          <w:highlight w:val="none"/>
        </w:rPr>
        <w:fldChar w:fldCharType="begin"/>
      </w:r>
      <w:r>
        <w:rPr>
          <w:highlight w:val="none"/>
        </w:rPr>
        <w:instrText xml:space="preserve"> PAGEREF _Toc30620 \h </w:instrText>
      </w:r>
      <w:r>
        <w:rPr>
          <w:highlight w:val="none"/>
        </w:rPr>
        <w:fldChar w:fldCharType="separate"/>
      </w:r>
      <w:r>
        <w:rPr>
          <w:highlight w:val="none"/>
        </w:rPr>
        <w:t>14</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_Toc5177 </w:instrText>
      </w:r>
      <w:r>
        <w:rPr>
          <w:highlight w:val="none"/>
        </w:rPr>
        <w:fldChar w:fldCharType="separate"/>
      </w:r>
      <w:r>
        <w:rPr>
          <w:rFonts w:hint="eastAsia" w:ascii="仿宋" w:hAnsi="仿宋" w:eastAsia="仿宋" w:cs="仿宋"/>
          <w:szCs w:val="24"/>
          <w:highlight w:val="none"/>
        </w:rPr>
        <w:t>3.1人员配备</w:t>
      </w:r>
      <w:r>
        <w:rPr>
          <w:highlight w:val="none"/>
        </w:rPr>
        <w:tab/>
      </w:r>
      <w:r>
        <w:rPr>
          <w:highlight w:val="none"/>
        </w:rPr>
        <w:fldChar w:fldCharType="begin"/>
      </w:r>
      <w:r>
        <w:rPr>
          <w:highlight w:val="none"/>
        </w:rPr>
        <w:instrText xml:space="preserve"> PAGEREF _Toc5177 \h </w:instrText>
      </w:r>
      <w:r>
        <w:rPr>
          <w:highlight w:val="none"/>
        </w:rPr>
        <w:fldChar w:fldCharType="separate"/>
      </w:r>
      <w:r>
        <w:rPr>
          <w:highlight w:val="none"/>
        </w:rPr>
        <w:t>14</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_Toc5064 </w:instrText>
      </w:r>
      <w:r>
        <w:rPr>
          <w:highlight w:val="none"/>
        </w:rPr>
        <w:fldChar w:fldCharType="separate"/>
      </w:r>
      <w:r>
        <w:rPr>
          <w:rFonts w:hint="eastAsia" w:ascii="仿宋" w:hAnsi="仿宋" w:eastAsia="仿宋" w:cs="仿宋"/>
          <w:szCs w:val="24"/>
          <w:highlight w:val="none"/>
        </w:rPr>
        <w:t>3.2 资质条件</w:t>
      </w:r>
      <w:r>
        <w:rPr>
          <w:highlight w:val="none"/>
        </w:rPr>
        <w:tab/>
      </w:r>
      <w:r>
        <w:rPr>
          <w:highlight w:val="none"/>
        </w:rPr>
        <w:fldChar w:fldCharType="begin"/>
      </w:r>
      <w:r>
        <w:rPr>
          <w:highlight w:val="none"/>
        </w:rPr>
        <w:instrText xml:space="preserve"> PAGEREF _Toc5064 \h </w:instrText>
      </w:r>
      <w:r>
        <w:rPr>
          <w:highlight w:val="none"/>
        </w:rPr>
        <w:fldChar w:fldCharType="separate"/>
      </w:r>
      <w:r>
        <w:rPr>
          <w:highlight w:val="none"/>
        </w:rPr>
        <w:t>14</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_Toc13525 </w:instrText>
      </w:r>
      <w:r>
        <w:rPr>
          <w:highlight w:val="none"/>
        </w:rPr>
        <w:fldChar w:fldCharType="separate"/>
      </w:r>
      <w:r>
        <w:rPr>
          <w:rFonts w:hint="eastAsia" w:ascii="仿宋" w:hAnsi="仿宋" w:eastAsia="仿宋" w:cs="仿宋"/>
          <w:szCs w:val="24"/>
          <w:highlight w:val="none"/>
        </w:rPr>
        <w:t>★3.3工作要求</w:t>
      </w:r>
      <w:r>
        <w:rPr>
          <w:highlight w:val="none"/>
        </w:rPr>
        <w:tab/>
      </w:r>
      <w:r>
        <w:rPr>
          <w:highlight w:val="none"/>
        </w:rPr>
        <w:fldChar w:fldCharType="begin"/>
      </w:r>
      <w:r>
        <w:rPr>
          <w:highlight w:val="none"/>
        </w:rPr>
        <w:instrText xml:space="preserve"> PAGEREF _Toc13525 \h </w:instrText>
      </w:r>
      <w:r>
        <w:rPr>
          <w:highlight w:val="none"/>
        </w:rPr>
        <w:fldChar w:fldCharType="separate"/>
      </w:r>
      <w:r>
        <w:rPr>
          <w:highlight w:val="none"/>
        </w:rPr>
        <w:t>14</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_Toc21168 </w:instrText>
      </w:r>
      <w:r>
        <w:rPr>
          <w:highlight w:val="none"/>
        </w:rPr>
        <w:fldChar w:fldCharType="separate"/>
      </w:r>
      <w:r>
        <w:rPr>
          <w:rFonts w:hint="eastAsia" w:ascii="仿宋" w:hAnsi="仿宋" w:eastAsia="仿宋" w:cs="仿宋"/>
          <w:szCs w:val="24"/>
          <w:highlight w:val="none"/>
        </w:rPr>
        <w:t>★3.4检测成果</w:t>
      </w:r>
      <w:r>
        <w:rPr>
          <w:highlight w:val="none"/>
        </w:rPr>
        <w:tab/>
      </w:r>
      <w:r>
        <w:rPr>
          <w:highlight w:val="none"/>
        </w:rPr>
        <w:fldChar w:fldCharType="begin"/>
      </w:r>
      <w:r>
        <w:rPr>
          <w:highlight w:val="none"/>
        </w:rPr>
        <w:instrText xml:space="preserve"> PAGEREF _Toc21168 \h </w:instrText>
      </w:r>
      <w:r>
        <w:rPr>
          <w:highlight w:val="none"/>
        </w:rPr>
        <w:fldChar w:fldCharType="separate"/>
      </w:r>
      <w:r>
        <w:rPr>
          <w:highlight w:val="none"/>
        </w:rPr>
        <w:t>15</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_Toc5516 </w:instrText>
      </w:r>
      <w:r>
        <w:rPr>
          <w:highlight w:val="none"/>
        </w:rPr>
        <w:fldChar w:fldCharType="separate"/>
      </w:r>
      <w:r>
        <w:rPr>
          <w:rFonts w:hint="eastAsia" w:ascii="仿宋" w:hAnsi="仿宋" w:eastAsia="仿宋" w:cs="仿宋"/>
          <w:szCs w:val="24"/>
          <w:highlight w:val="none"/>
        </w:rPr>
        <w:t>3.5工期顺延</w:t>
      </w:r>
      <w:r>
        <w:rPr>
          <w:highlight w:val="none"/>
        </w:rPr>
        <w:tab/>
      </w:r>
      <w:r>
        <w:rPr>
          <w:highlight w:val="none"/>
        </w:rPr>
        <w:fldChar w:fldCharType="begin"/>
      </w:r>
      <w:r>
        <w:rPr>
          <w:highlight w:val="none"/>
        </w:rPr>
        <w:instrText xml:space="preserve"> PAGEREF _Toc5516 \h </w:instrText>
      </w:r>
      <w:r>
        <w:rPr>
          <w:highlight w:val="none"/>
        </w:rPr>
        <w:fldChar w:fldCharType="separate"/>
      </w:r>
      <w:r>
        <w:rPr>
          <w:highlight w:val="none"/>
        </w:rPr>
        <w:t>15</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_Toc22882 </w:instrText>
      </w:r>
      <w:r>
        <w:rPr>
          <w:highlight w:val="none"/>
        </w:rPr>
        <w:fldChar w:fldCharType="separate"/>
      </w:r>
      <w:r>
        <w:rPr>
          <w:rFonts w:hint="eastAsia" w:ascii="仿宋" w:hAnsi="仿宋" w:eastAsia="仿宋" w:cs="仿宋"/>
          <w:szCs w:val="24"/>
          <w:highlight w:val="none"/>
        </w:rPr>
        <w:t>3.6其它</w:t>
      </w:r>
      <w:r>
        <w:rPr>
          <w:highlight w:val="none"/>
        </w:rPr>
        <w:tab/>
      </w:r>
      <w:r>
        <w:rPr>
          <w:highlight w:val="none"/>
        </w:rPr>
        <w:fldChar w:fldCharType="begin"/>
      </w:r>
      <w:r>
        <w:rPr>
          <w:highlight w:val="none"/>
        </w:rPr>
        <w:instrText xml:space="preserve"> PAGEREF _Toc22882 \h </w:instrText>
      </w:r>
      <w:r>
        <w:rPr>
          <w:highlight w:val="none"/>
        </w:rPr>
        <w:fldChar w:fldCharType="separate"/>
      </w:r>
      <w:r>
        <w:rPr>
          <w:highlight w:val="none"/>
        </w:rPr>
        <w:t>15</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_Toc912 </w:instrText>
      </w:r>
      <w:r>
        <w:rPr>
          <w:highlight w:val="none"/>
        </w:rPr>
        <w:fldChar w:fldCharType="separate"/>
      </w:r>
      <w:r>
        <w:rPr>
          <w:rFonts w:hint="eastAsia" w:ascii="仿宋" w:hAnsi="仿宋" w:eastAsia="仿宋" w:cs="仿宋"/>
          <w:szCs w:val="24"/>
          <w:highlight w:val="none"/>
        </w:rPr>
        <w:t>★4. 违约责任</w:t>
      </w:r>
      <w:r>
        <w:rPr>
          <w:highlight w:val="none"/>
        </w:rPr>
        <w:tab/>
      </w:r>
      <w:r>
        <w:rPr>
          <w:highlight w:val="none"/>
        </w:rPr>
        <w:fldChar w:fldCharType="begin"/>
      </w:r>
      <w:r>
        <w:rPr>
          <w:highlight w:val="none"/>
        </w:rPr>
        <w:instrText xml:space="preserve"> PAGEREF _Toc912 \h </w:instrText>
      </w:r>
      <w:r>
        <w:rPr>
          <w:highlight w:val="none"/>
        </w:rPr>
        <w:fldChar w:fldCharType="separate"/>
      </w:r>
      <w:r>
        <w:rPr>
          <w:highlight w:val="none"/>
        </w:rPr>
        <w:t>16</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_Toc4897 </w:instrText>
      </w:r>
      <w:r>
        <w:rPr>
          <w:highlight w:val="none"/>
        </w:rPr>
        <w:fldChar w:fldCharType="separate"/>
      </w:r>
      <w:r>
        <w:rPr>
          <w:rFonts w:hint="eastAsia" w:ascii="仿宋" w:hAnsi="仿宋" w:eastAsia="仿宋" w:cs="仿宋"/>
          <w:szCs w:val="24"/>
          <w:highlight w:val="none"/>
        </w:rPr>
        <w:t>5. 支付</w:t>
      </w:r>
      <w:r>
        <w:rPr>
          <w:highlight w:val="none"/>
        </w:rPr>
        <w:tab/>
      </w:r>
      <w:r>
        <w:rPr>
          <w:highlight w:val="none"/>
        </w:rPr>
        <w:fldChar w:fldCharType="begin"/>
      </w:r>
      <w:r>
        <w:rPr>
          <w:highlight w:val="none"/>
        </w:rPr>
        <w:instrText xml:space="preserve"> PAGEREF _Toc4897 \h </w:instrText>
      </w:r>
      <w:r>
        <w:rPr>
          <w:highlight w:val="none"/>
        </w:rPr>
        <w:fldChar w:fldCharType="separate"/>
      </w:r>
      <w:r>
        <w:rPr>
          <w:highlight w:val="none"/>
        </w:rPr>
        <w:t>17</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_Toc11409 </w:instrText>
      </w:r>
      <w:r>
        <w:rPr>
          <w:highlight w:val="none"/>
        </w:rPr>
        <w:fldChar w:fldCharType="separate"/>
      </w:r>
      <w:r>
        <w:rPr>
          <w:rFonts w:hint="eastAsia" w:ascii="仿宋" w:hAnsi="仿宋" w:eastAsia="仿宋" w:cs="仿宋"/>
          <w:szCs w:val="24"/>
          <w:highlight w:val="none"/>
        </w:rPr>
        <w:t>5.1 支付货币</w:t>
      </w:r>
      <w:r>
        <w:rPr>
          <w:highlight w:val="none"/>
        </w:rPr>
        <w:tab/>
      </w:r>
      <w:r>
        <w:rPr>
          <w:highlight w:val="none"/>
        </w:rPr>
        <w:fldChar w:fldCharType="begin"/>
      </w:r>
      <w:r>
        <w:rPr>
          <w:highlight w:val="none"/>
        </w:rPr>
        <w:instrText xml:space="preserve"> PAGEREF _Toc11409 \h </w:instrText>
      </w:r>
      <w:r>
        <w:rPr>
          <w:highlight w:val="none"/>
        </w:rPr>
        <w:fldChar w:fldCharType="separate"/>
      </w:r>
      <w:r>
        <w:rPr>
          <w:highlight w:val="none"/>
        </w:rPr>
        <w:t>17</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_Toc28810 </w:instrText>
      </w:r>
      <w:r>
        <w:rPr>
          <w:highlight w:val="none"/>
        </w:rPr>
        <w:fldChar w:fldCharType="separate"/>
      </w:r>
      <w:r>
        <w:rPr>
          <w:rFonts w:hint="eastAsia" w:ascii="仿宋" w:hAnsi="仿宋" w:eastAsia="仿宋" w:cs="仿宋"/>
          <w:szCs w:val="24"/>
          <w:highlight w:val="none"/>
        </w:rPr>
        <w:t>★5.2检测项目费用计算方式、金额</w:t>
      </w:r>
      <w:r>
        <w:rPr>
          <w:highlight w:val="none"/>
        </w:rPr>
        <w:tab/>
      </w:r>
      <w:r>
        <w:rPr>
          <w:highlight w:val="none"/>
        </w:rPr>
        <w:fldChar w:fldCharType="begin"/>
      </w:r>
      <w:r>
        <w:rPr>
          <w:highlight w:val="none"/>
        </w:rPr>
        <w:instrText xml:space="preserve"> PAGEREF _Toc28810 \h </w:instrText>
      </w:r>
      <w:r>
        <w:rPr>
          <w:highlight w:val="none"/>
        </w:rPr>
        <w:fldChar w:fldCharType="separate"/>
      </w:r>
      <w:r>
        <w:rPr>
          <w:highlight w:val="none"/>
        </w:rPr>
        <w:t>17</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_Toc31155 </w:instrText>
      </w:r>
      <w:r>
        <w:rPr>
          <w:highlight w:val="none"/>
        </w:rPr>
        <w:fldChar w:fldCharType="separate"/>
      </w:r>
      <w:r>
        <w:rPr>
          <w:rFonts w:hint="eastAsia" w:ascii="仿宋" w:hAnsi="仿宋" w:eastAsia="仿宋" w:cs="仿宋"/>
          <w:szCs w:val="24"/>
          <w:highlight w:val="none"/>
        </w:rPr>
        <w:t>5.3支付方式</w:t>
      </w:r>
      <w:r>
        <w:rPr>
          <w:highlight w:val="none"/>
        </w:rPr>
        <w:tab/>
      </w:r>
      <w:r>
        <w:rPr>
          <w:highlight w:val="none"/>
        </w:rPr>
        <w:fldChar w:fldCharType="begin"/>
      </w:r>
      <w:r>
        <w:rPr>
          <w:highlight w:val="none"/>
        </w:rPr>
        <w:instrText xml:space="preserve"> PAGEREF _Toc31155 \h </w:instrText>
      </w:r>
      <w:r>
        <w:rPr>
          <w:highlight w:val="none"/>
        </w:rPr>
        <w:fldChar w:fldCharType="separate"/>
      </w:r>
      <w:r>
        <w:rPr>
          <w:highlight w:val="none"/>
        </w:rPr>
        <w:t>18</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_Toc3368 </w:instrText>
      </w:r>
      <w:r>
        <w:rPr>
          <w:highlight w:val="none"/>
        </w:rPr>
        <w:fldChar w:fldCharType="separate"/>
      </w:r>
      <w:r>
        <w:rPr>
          <w:rFonts w:hint="eastAsia" w:ascii="仿宋" w:hAnsi="仿宋" w:eastAsia="仿宋" w:cs="仿宋"/>
          <w:szCs w:val="24"/>
          <w:highlight w:val="none"/>
        </w:rPr>
        <w:t>★5.4 支付申请资料</w:t>
      </w:r>
      <w:r>
        <w:rPr>
          <w:highlight w:val="none"/>
        </w:rPr>
        <w:tab/>
      </w:r>
      <w:r>
        <w:rPr>
          <w:highlight w:val="none"/>
        </w:rPr>
        <w:fldChar w:fldCharType="begin"/>
      </w:r>
      <w:r>
        <w:rPr>
          <w:highlight w:val="none"/>
        </w:rPr>
        <w:instrText xml:space="preserve"> PAGEREF _Toc3368 \h </w:instrText>
      </w:r>
      <w:r>
        <w:rPr>
          <w:highlight w:val="none"/>
        </w:rPr>
        <w:fldChar w:fldCharType="separate"/>
      </w:r>
      <w:r>
        <w:rPr>
          <w:highlight w:val="none"/>
        </w:rPr>
        <w:t>18</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_Toc31596 </w:instrText>
      </w:r>
      <w:r>
        <w:rPr>
          <w:highlight w:val="none"/>
        </w:rPr>
        <w:fldChar w:fldCharType="separate"/>
      </w:r>
      <w:r>
        <w:rPr>
          <w:rFonts w:hint="eastAsia" w:ascii="仿宋" w:hAnsi="仿宋" w:eastAsia="仿宋" w:cs="仿宋"/>
          <w:szCs w:val="24"/>
          <w:highlight w:val="none"/>
        </w:rPr>
        <w:t>★5.5有异议部分的支付</w:t>
      </w:r>
      <w:r>
        <w:rPr>
          <w:highlight w:val="none"/>
        </w:rPr>
        <w:tab/>
      </w:r>
      <w:r>
        <w:rPr>
          <w:highlight w:val="none"/>
        </w:rPr>
        <w:fldChar w:fldCharType="begin"/>
      </w:r>
      <w:r>
        <w:rPr>
          <w:highlight w:val="none"/>
        </w:rPr>
        <w:instrText xml:space="preserve"> PAGEREF _Toc31596 \h </w:instrText>
      </w:r>
      <w:r>
        <w:rPr>
          <w:highlight w:val="none"/>
        </w:rPr>
        <w:fldChar w:fldCharType="separate"/>
      </w:r>
      <w:r>
        <w:rPr>
          <w:highlight w:val="none"/>
        </w:rPr>
        <w:t>18</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_Toc22117 </w:instrText>
      </w:r>
      <w:r>
        <w:rPr>
          <w:highlight w:val="none"/>
        </w:rPr>
        <w:fldChar w:fldCharType="separate"/>
      </w:r>
      <w:r>
        <w:rPr>
          <w:rFonts w:hint="eastAsia" w:ascii="仿宋" w:hAnsi="仿宋" w:eastAsia="仿宋" w:cs="仿宋"/>
          <w:szCs w:val="24"/>
          <w:highlight w:val="none"/>
        </w:rPr>
        <w:t>6.合同变更、解除与终止</w:t>
      </w:r>
      <w:r>
        <w:rPr>
          <w:highlight w:val="none"/>
        </w:rPr>
        <w:tab/>
      </w:r>
      <w:r>
        <w:rPr>
          <w:highlight w:val="none"/>
        </w:rPr>
        <w:fldChar w:fldCharType="begin"/>
      </w:r>
      <w:r>
        <w:rPr>
          <w:highlight w:val="none"/>
        </w:rPr>
        <w:instrText xml:space="preserve"> PAGEREF _Toc22117 \h </w:instrText>
      </w:r>
      <w:r>
        <w:rPr>
          <w:highlight w:val="none"/>
        </w:rPr>
        <w:fldChar w:fldCharType="separate"/>
      </w:r>
      <w:r>
        <w:rPr>
          <w:highlight w:val="none"/>
        </w:rPr>
        <w:t>18</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_Toc13598 </w:instrText>
      </w:r>
      <w:r>
        <w:rPr>
          <w:highlight w:val="none"/>
        </w:rPr>
        <w:fldChar w:fldCharType="separate"/>
      </w:r>
      <w:r>
        <w:rPr>
          <w:rFonts w:hint="eastAsia" w:ascii="仿宋" w:hAnsi="仿宋" w:eastAsia="仿宋" w:cs="仿宋"/>
          <w:szCs w:val="24"/>
          <w:highlight w:val="none"/>
        </w:rPr>
        <w:t>6.1合同变更</w:t>
      </w:r>
      <w:r>
        <w:rPr>
          <w:highlight w:val="none"/>
        </w:rPr>
        <w:tab/>
      </w:r>
      <w:r>
        <w:rPr>
          <w:highlight w:val="none"/>
        </w:rPr>
        <w:fldChar w:fldCharType="begin"/>
      </w:r>
      <w:r>
        <w:rPr>
          <w:highlight w:val="none"/>
        </w:rPr>
        <w:instrText xml:space="preserve"> PAGEREF _Toc13598 \h </w:instrText>
      </w:r>
      <w:r>
        <w:rPr>
          <w:highlight w:val="none"/>
        </w:rPr>
        <w:fldChar w:fldCharType="separate"/>
      </w:r>
      <w:r>
        <w:rPr>
          <w:highlight w:val="none"/>
        </w:rPr>
        <w:t>18</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_Toc26420 </w:instrText>
      </w:r>
      <w:r>
        <w:rPr>
          <w:highlight w:val="none"/>
        </w:rPr>
        <w:fldChar w:fldCharType="separate"/>
      </w:r>
      <w:r>
        <w:rPr>
          <w:rFonts w:hint="eastAsia" w:ascii="仿宋" w:hAnsi="仿宋" w:eastAsia="仿宋" w:cs="仿宋"/>
          <w:szCs w:val="24"/>
          <w:highlight w:val="none"/>
        </w:rPr>
        <w:t>6.2合同解除</w:t>
      </w:r>
      <w:r>
        <w:rPr>
          <w:highlight w:val="none"/>
        </w:rPr>
        <w:tab/>
      </w:r>
      <w:r>
        <w:rPr>
          <w:highlight w:val="none"/>
        </w:rPr>
        <w:fldChar w:fldCharType="begin"/>
      </w:r>
      <w:r>
        <w:rPr>
          <w:highlight w:val="none"/>
        </w:rPr>
        <w:instrText xml:space="preserve"> PAGEREF _Toc26420 \h </w:instrText>
      </w:r>
      <w:r>
        <w:rPr>
          <w:highlight w:val="none"/>
        </w:rPr>
        <w:fldChar w:fldCharType="separate"/>
      </w:r>
      <w:r>
        <w:rPr>
          <w:highlight w:val="none"/>
        </w:rPr>
        <w:t>19</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_Toc20132 </w:instrText>
      </w:r>
      <w:r>
        <w:rPr>
          <w:highlight w:val="none"/>
        </w:rPr>
        <w:fldChar w:fldCharType="separate"/>
      </w:r>
      <w:r>
        <w:rPr>
          <w:rFonts w:hint="eastAsia" w:ascii="仿宋" w:hAnsi="仿宋" w:eastAsia="仿宋" w:cs="仿宋"/>
          <w:szCs w:val="24"/>
          <w:highlight w:val="none"/>
        </w:rPr>
        <w:t>6.3合同终止条件</w:t>
      </w:r>
      <w:r>
        <w:rPr>
          <w:highlight w:val="none"/>
        </w:rPr>
        <w:tab/>
      </w:r>
      <w:r>
        <w:rPr>
          <w:highlight w:val="none"/>
        </w:rPr>
        <w:fldChar w:fldCharType="begin"/>
      </w:r>
      <w:r>
        <w:rPr>
          <w:highlight w:val="none"/>
        </w:rPr>
        <w:instrText xml:space="preserve"> PAGEREF _Toc20132 \h </w:instrText>
      </w:r>
      <w:r>
        <w:rPr>
          <w:highlight w:val="none"/>
        </w:rPr>
        <w:fldChar w:fldCharType="separate"/>
      </w:r>
      <w:r>
        <w:rPr>
          <w:highlight w:val="none"/>
        </w:rPr>
        <w:t>20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_Toc9711 </w:instrText>
      </w:r>
      <w:r>
        <w:rPr>
          <w:highlight w:val="none"/>
        </w:rPr>
        <w:fldChar w:fldCharType="separate"/>
      </w:r>
      <w:r>
        <w:rPr>
          <w:rFonts w:hint="eastAsia" w:ascii="仿宋" w:hAnsi="仿宋" w:eastAsia="仿宋" w:cs="仿宋"/>
          <w:szCs w:val="24"/>
          <w:highlight w:val="none"/>
        </w:rPr>
        <w:t>7. 争议解决</w:t>
      </w:r>
      <w:r>
        <w:rPr>
          <w:highlight w:val="none"/>
        </w:rPr>
        <w:tab/>
      </w:r>
      <w:r>
        <w:rPr>
          <w:highlight w:val="none"/>
        </w:rPr>
        <w:fldChar w:fldCharType="begin"/>
      </w:r>
      <w:r>
        <w:rPr>
          <w:highlight w:val="none"/>
        </w:rPr>
        <w:instrText xml:space="preserve"> PAGEREF _Toc9711 \h </w:instrText>
      </w:r>
      <w:r>
        <w:rPr>
          <w:highlight w:val="none"/>
        </w:rPr>
        <w:fldChar w:fldCharType="separate"/>
      </w:r>
      <w:r>
        <w:rPr>
          <w:highlight w:val="none"/>
        </w:rPr>
        <w:t>20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_Toc9007 </w:instrText>
      </w:r>
      <w:r>
        <w:rPr>
          <w:highlight w:val="none"/>
        </w:rPr>
        <w:fldChar w:fldCharType="separate"/>
      </w:r>
      <w:r>
        <w:rPr>
          <w:rFonts w:hint="eastAsia" w:ascii="仿宋" w:hAnsi="仿宋" w:eastAsia="仿宋" w:cs="仿宋"/>
          <w:szCs w:val="24"/>
          <w:highlight w:val="none"/>
        </w:rPr>
        <w:t>7.1协商</w:t>
      </w:r>
      <w:r>
        <w:rPr>
          <w:highlight w:val="none"/>
        </w:rPr>
        <w:tab/>
      </w:r>
      <w:r>
        <w:rPr>
          <w:highlight w:val="none"/>
        </w:rPr>
        <w:fldChar w:fldCharType="begin"/>
      </w:r>
      <w:r>
        <w:rPr>
          <w:highlight w:val="none"/>
        </w:rPr>
        <w:instrText xml:space="preserve"> PAGEREF _Toc9007 \h </w:instrText>
      </w:r>
      <w:r>
        <w:rPr>
          <w:highlight w:val="none"/>
        </w:rPr>
        <w:fldChar w:fldCharType="separate"/>
      </w:r>
      <w:r>
        <w:rPr>
          <w:highlight w:val="none"/>
        </w:rPr>
        <w:t>20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_Toc24121 </w:instrText>
      </w:r>
      <w:r>
        <w:rPr>
          <w:highlight w:val="none"/>
        </w:rPr>
        <w:fldChar w:fldCharType="separate"/>
      </w:r>
      <w:r>
        <w:rPr>
          <w:rFonts w:hint="eastAsia" w:ascii="仿宋" w:hAnsi="仿宋" w:eastAsia="仿宋" w:cs="仿宋"/>
          <w:szCs w:val="24"/>
          <w:highlight w:val="none"/>
        </w:rPr>
        <w:t>7.2仲裁或诉讼</w:t>
      </w:r>
      <w:r>
        <w:rPr>
          <w:highlight w:val="none"/>
        </w:rPr>
        <w:tab/>
      </w:r>
      <w:r>
        <w:rPr>
          <w:highlight w:val="none"/>
        </w:rPr>
        <w:fldChar w:fldCharType="begin"/>
      </w:r>
      <w:r>
        <w:rPr>
          <w:highlight w:val="none"/>
        </w:rPr>
        <w:instrText xml:space="preserve"> PAGEREF _Toc24121 \h </w:instrText>
      </w:r>
      <w:r>
        <w:rPr>
          <w:highlight w:val="none"/>
        </w:rPr>
        <w:fldChar w:fldCharType="separate"/>
      </w:r>
      <w:r>
        <w:rPr>
          <w:highlight w:val="none"/>
        </w:rPr>
        <w:t>20</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_Toc8231 </w:instrText>
      </w:r>
      <w:r>
        <w:rPr>
          <w:highlight w:val="none"/>
        </w:rPr>
        <w:fldChar w:fldCharType="separate"/>
      </w:r>
      <w:r>
        <w:rPr>
          <w:rFonts w:hint="eastAsia" w:ascii="仿宋" w:hAnsi="仿宋" w:eastAsia="仿宋" w:cs="仿宋"/>
          <w:szCs w:val="24"/>
          <w:highlight w:val="none"/>
        </w:rPr>
        <w:t>8. 其它</w:t>
      </w:r>
      <w:r>
        <w:rPr>
          <w:highlight w:val="none"/>
        </w:rPr>
        <w:tab/>
      </w:r>
      <w:r>
        <w:rPr>
          <w:highlight w:val="none"/>
        </w:rPr>
        <w:fldChar w:fldCharType="begin"/>
      </w:r>
      <w:r>
        <w:rPr>
          <w:highlight w:val="none"/>
        </w:rPr>
        <w:instrText xml:space="preserve"> PAGEREF _Toc8231 \h </w:instrText>
      </w:r>
      <w:r>
        <w:rPr>
          <w:highlight w:val="none"/>
        </w:rPr>
        <w:fldChar w:fldCharType="separate"/>
      </w:r>
      <w:r>
        <w:rPr>
          <w:highlight w:val="none"/>
        </w:rPr>
        <w:t>20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_Toc7915 </w:instrText>
      </w:r>
      <w:r>
        <w:rPr>
          <w:highlight w:val="none"/>
        </w:rPr>
        <w:fldChar w:fldCharType="separate"/>
      </w:r>
      <w:r>
        <w:rPr>
          <w:rFonts w:hint="eastAsia" w:ascii="仿宋" w:hAnsi="仿宋" w:eastAsia="仿宋" w:cs="仿宋"/>
          <w:szCs w:val="24"/>
          <w:highlight w:val="none"/>
        </w:rPr>
        <w:t>8.1 保密</w:t>
      </w:r>
      <w:r>
        <w:rPr>
          <w:highlight w:val="none"/>
        </w:rPr>
        <w:tab/>
      </w:r>
      <w:r>
        <w:rPr>
          <w:highlight w:val="none"/>
        </w:rPr>
        <w:fldChar w:fldCharType="begin"/>
      </w:r>
      <w:r>
        <w:rPr>
          <w:highlight w:val="none"/>
        </w:rPr>
        <w:instrText xml:space="preserve"> PAGEREF _Toc7915 \h </w:instrText>
      </w:r>
      <w:r>
        <w:rPr>
          <w:highlight w:val="none"/>
        </w:rPr>
        <w:fldChar w:fldCharType="separate"/>
      </w:r>
      <w:r>
        <w:rPr>
          <w:highlight w:val="none"/>
        </w:rPr>
        <w:t>20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_Toc15334 </w:instrText>
      </w:r>
      <w:r>
        <w:rPr>
          <w:highlight w:val="none"/>
        </w:rPr>
        <w:fldChar w:fldCharType="separate"/>
      </w:r>
      <w:r>
        <w:rPr>
          <w:rFonts w:hint="eastAsia" w:ascii="仿宋" w:hAnsi="仿宋" w:eastAsia="仿宋" w:cs="仿宋"/>
          <w:szCs w:val="24"/>
          <w:highlight w:val="none"/>
        </w:rPr>
        <w:t>8.2 通知与送达</w:t>
      </w:r>
      <w:r>
        <w:rPr>
          <w:highlight w:val="none"/>
        </w:rPr>
        <w:tab/>
      </w:r>
      <w:r>
        <w:rPr>
          <w:highlight w:val="none"/>
        </w:rPr>
        <w:fldChar w:fldCharType="begin"/>
      </w:r>
      <w:r>
        <w:rPr>
          <w:highlight w:val="none"/>
        </w:rPr>
        <w:instrText xml:space="preserve"> PAGEREF _Toc15334 \h </w:instrText>
      </w:r>
      <w:r>
        <w:rPr>
          <w:highlight w:val="none"/>
        </w:rPr>
        <w:fldChar w:fldCharType="separate"/>
      </w:r>
      <w:r>
        <w:rPr>
          <w:highlight w:val="none"/>
        </w:rPr>
        <w:t>21</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_Toc9291 </w:instrText>
      </w:r>
      <w:r>
        <w:rPr>
          <w:highlight w:val="none"/>
        </w:rPr>
        <w:fldChar w:fldCharType="separate"/>
      </w:r>
      <w:r>
        <w:rPr>
          <w:rFonts w:hint="eastAsia" w:ascii="仿宋" w:hAnsi="仿宋" w:eastAsia="仿宋" w:cs="仿宋"/>
          <w:szCs w:val="24"/>
          <w:highlight w:val="none"/>
        </w:rPr>
        <w:t>8.3知识产权</w:t>
      </w:r>
      <w:r>
        <w:rPr>
          <w:highlight w:val="none"/>
        </w:rPr>
        <w:tab/>
      </w:r>
      <w:r>
        <w:rPr>
          <w:highlight w:val="none"/>
        </w:rPr>
        <w:fldChar w:fldCharType="begin"/>
      </w:r>
      <w:r>
        <w:rPr>
          <w:highlight w:val="none"/>
        </w:rPr>
        <w:instrText xml:space="preserve"> PAGEREF _Toc9291 \h </w:instrText>
      </w:r>
      <w:r>
        <w:rPr>
          <w:highlight w:val="none"/>
        </w:rPr>
        <w:fldChar w:fldCharType="separate"/>
      </w:r>
      <w:r>
        <w:rPr>
          <w:highlight w:val="none"/>
        </w:rPr>
        <w:t>21</w:t>
      </w:r>
      <w:r>
        <w:rPr>
          <w:highlight w:val="none"/>
        </w:rPr>
        <w:fldChar w:fldCharType="end"/>
      </w:r>
      <w:r>
        <w:rPr>
          <w:highlight w:val="none"/>
        </w:rPr>
        <w:fldChar w:fldCharType="end"/>
      </w:r>
    </w:p>
    <w:p>
      <w:pPr>
        <w:pStyle w:val="106"/>
        <w:tabs>
          <w:tab w:val="right" w:leader="dot" w:pos="8306"/>
        </w:tabs>
        <w:rPr>
          <w:highlight w:val="none"/>
        </w:rPr>
      </w:pPr>
      <w:r>
        <w:rPr>
          <w:highlight w:val="none"/>
        </w:rPr>
        <w:fldChar w:fldCharType="begin"/>
      </w:r>
      <w:r>
        <w:rPr>
          <w:highlight w:val="none"/>
        </w:rPr>
        <w:instrText xml:space="preserve"> HYPERLINK \l "_Toc19342" </w:instrText>
      </w:r>
      <w:r>
        <w:rPr>
          <w:highlight w:val="none"/>
        </w:rPr>
        <w:fldChar w:fldCharType="separate"/>
      </w:r>
      <w:r>
        <w:rPr>
          <w:rFonts w:hint="eastAsia" w:ascii="仿宋" w:hAnsi="仿宋" w:eastAsia="仿宋" w:cs="仿宋"/>
          <w:bCs/>
          <w:szCs w:val="36"/>
          <w:highlight w:val="none"/>
        </w:rPr>
        <w:t>第三部分  专用条款</w:t>
      </w:r>
      <w:r>
        <w:rPr>
          <w:highlight w:val="none"/>
        </w:rPr>
        <w:tab/>
      </w:r>
      <w:r>
        <w:rPr>
          <w:highlight w:val="none"/>
        </w:rPr>
        <w:fldChar w:fldCharType="begin"/>
      </w:r>
      <w:r>
        <w:rPr>
          <w:highlight w:val="none"/>
        </w:rPr>
        <w:instrText xml:space="preserve"> PAGEREF _Toc19342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"_Toc6432" </w:instrText>
      </w:r>
      <w:r>
        <w:rPr>
          <w:highlight w:val="none"/>
        </w:rPr>
        <w:fldChar w:fldCharType="separate"/>
      </w:r>
      <w:r>
        <w:rPr>
          <w:rFonts w:hint="eastAsia" w:ascii="仿宋" w:hAnsi="仿宋" w:eastAsia="仿宋" w:cs="仿宋"/>
          <w:szCs w:val="24"/>
          <w:highlight w:val="none"/>
        </w:rPr>
        <w:t>1. 词语定义、语言、解释顺序与适用法律</w:t>
      </w:r>
      <w:r>
        <w:rPr>
          <w:highlight w:val="none"/>
        </w:rPr>
        <w:tab/>
      </w:r>
      <w:r>
        <w:rPr>
          <w:highlight w:val="none"/>
        </w:rPr>
        <w:fldChar w:fldCharType="begin"/>
      </w:r>
      <w:r>
        <w:rPr>
          <w:highlight w:val="none"/>
        </w:rPr>
        <w:instrText xml:space="preserve"> PAGEREF _Toc6432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_Toc30791 </w:instrText>
      </w:r>
      <w:r>
        <w:rPr>
          <w:highlight w:val="none"/>
        </w:rPr>
        <w:fldChar w:fldCharType="separate"/>
      </w:r>
      <w:r>
        <w:rPr>
          <w:rFonts w:hint="eastAsia" w:ascii="仿宋" w:hAnsi="仿宋" w:eastAsia="仿宋" w:cs="仿宋"/>
          <w:szCs w:val="24"/>
          <w:highlight w:val="none"/>
        </w:rPr>
        <w:t>1.2语言</w:t>
      </w:r>
      <w:r>
        <w:rPr>
          <w:highlight w:val="none"/>
        </w:rPr>
        <w:tab/>
      </w:r>
      <w:r>
        <w:rPr>
          <w:highlight w:val="none"/>
        </w:rPr>
        <w:fldChar w:fldCharType="begin"/>
      </w:r>
      <w:r>
        <w:rPr>
          <w:highlight w:val="none"/>
        </w:rPr>
        <w:instrText xml:space="preserve"> PAGEREF _Toc30791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_Toc3435 </w:instrText>
      </w:r>
      <w:r>
        <w:rPr>
          <w:highlight w:val="none"/>
        </w:rPr>
        <w:fldChar w:fldCharType="separate"/>
      </w:r>
      <w:r>
        <w:rPr>
          <w:rFonts w:hint="eastAsia" w:ascii="仿宋" w:hAnsi="仿宋" w:eastAsia="仿宋" w:cs="仿宋"/>
          <w:szCs w:val="24"/>
          <w:highlight w:val="none"/>
        </w:rPr>
        <w:t>1.4适用法律</w:t>
      </w:r>
      <w:r>
        <w:rPr>
          <w:highlight w:val="none"/>
        </w:rPr>
        <w:tab/>
      </w:r>
      <w:r>
        <w:rPr>
          <w:highlight w:val="none"/>
        </w:rPr>
        <w:fldChar w:fldCharType="begin"/>
      </w:r>
      <w:r>
        <w:rPr>
          <w:highlight w:val="none"/>
        </w:rPr>
        <w:instrText xml:space="preserve"> PAGEREF _Toc3435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_Toc22435 </w:instrText>
      </w:r>
      <w:r>
        <w:rPr>
          <w:highlight w:val="none"/>
        </w:rPr>
        <w:fldChar w:fldCharType="separate"/>
      </w:r>
      <w:r>
        <w:rPr>
          <w:rFonts w:hint="eastAsia" w:ascii="仿宋" w:hAnsi="仿宋" w:eastAsia="仿宋" w:cs="仿宋"/>
          <w:szCs w:val="24"/>
          <w:highlight w:val="none"/>
        </w:rPr>
        <w:t>2. 甲方的权利、义务</w:t>
      </w:r>
      <w:r>
        <w:rPr>
          <w:highlight w:val="none"/>
        </w:rPr>
        <w:tab/>
      </w:r>
      <w:r>
        <w:rPr>
          <w:highlight w:val="none"/>
        </w:rPr>
        <w:fldChar w:fldCharType="begin"/>
      </w:r>
      <w:r>
        <w:rPr>
          <w:highlight w:val="none"/>
        </w:rPr>
        <w:instrText xml:space="preserve"> PAGEREF _Toc22435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_Toc14274 </w:instrText>
      </w:r>
      <w:r>
        <w:rPr>
          <w:highlight w:val="none"/>
        </w:rPr>
        <w:fldChar w:fldCharType="separate"/>
      </w:r>
      <w:r>
        <w:rPr>
          <w:rFonts w:hint="eastAsia" w:ascii="仿宋" w:hAnsi="仿宋" w:eastAsia="仿宋" w:cs="仿宋"/>
          <w:szCs w:val="24"/>
          <w:highlight w:val="none"/>
        </w:rPr>
        <w:t>2.1现场监督</w:t>
      </w:r>
      <w:r>
        <w:rPr>
          <w:highlight w:val="none"/>
        </w:rPr>
        <w:tab/>
      </w:r>
      <w:r>
        <w:rPr>
          <w:highlight w:val="none"/>
        </w:rPr>
        <w:fldChar w:fldCharType="begin"/>
      </w:r>
      <w:r>
        <w:rPr>
          <w:highlight w:val="none"/>
        </w:rPr>
        <w:instrText xml:space="preserve"> PAGEREF _Toc14274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_Toc2048 </w:instrText>
      </w:r>
      <w:r>
        <w:rPr>
          <w:highlight w:val="none"/>
        </w:rPr>
        <w:fldChar w:fldCharType="separate"/>
      </w:r>
      <w:r>
        <w:rPr>
          <w:rFonts w:hint="eastAsia" w:ascii="仿宋" w:hAnsi="仿宋" w:eastAsia="仿宋" w:cs="仿宋"/>
          <w:szCs w:val="24"/>
          <w:highlight w:val="none"/>
        </w:rPr>
        <w:t>★2.2提供资料及工作条件</w:t>
      </w:r>
      <w:r>
        <w:rPr>
          <w:highlight w:val="none"/>
        </w:rPr>
        <w:tab/>
      </w:r>
      <w:r>
        <w:rPr>
          <w:highlight w:val="none"/>
        </w:rPr>
        <w:fldChar w:fldCharType="begin"/>
      </w:r>
      <w:r>
        <w:rPr>
          <w:highlight w:val="none"/>
        </w:rPr>
        <w:instrText xml:space="preserve"> PAGEREF _Toc2048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_Toc32417 </w:instrText>
      </w:r>
      <w:r>
        <w:rPr>
          <w:highlight w:val="none"/>
        </w:rPr>
        <w:fldChar w:fldCharType="separate"/>
      </w:r>
      <w:r>
        <w:rPr>
          <w:rFonts w:hint="eastAsia" w:ascii="仿宋" w:hAnsi="仿宋" w:eastAsia="仿宋" w:cs="仿宋"/>
          <w:szCs w:val="24"/>
          <w:highlight w:val="none"/>
        </w:rPr>
        <w:t>★2.3成果确认及验收支付</w:t>
      </w:r>
      <w:r>
        <w:rPr>
          <w:highlight w:val="none"/>
        </w:rPr>
        <w:tab/>
      </w:r>
      <w:r>
        <w:rPr>
          <w:highlight w:val="none"/>
        </w:rPr>
        <w:fldChar w:fldCharType="begin"/>
      </w:r>
      <w:r>
        <w:rPr>
          <w:highlight w:val="none"/>
        </w:rPr>
        <w:instrText xml:space="preserve"> PAGEREF _Toc32417 \h </w:instrText>
      </w:r>
      <w:r>
        <w:rPr>
          <w:highlight w:val="none"/>
        </w:rPr>
        <w:fldChar w:fldCharType="separate"/>
      </w:r>
      <w:r>
        <w:rPr>
          <w:highlight w:val="none"/>
        </w:rPr>
        <w:t>22</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_Toc31008 </w:instrText>
      </w:r>
      <w:r>
        <w:rPr>
          <w:highlight w:val="none"/>
        </w:rPr>
        <w:fldChar w:fldCharType="separate"/>
      </w:r>
      <w:r>
        <w:rPr>
          <w:rFonts w:hint="eastAsia" w:ascii="仿宋" w:hAnsi="仿宋" w:eastAsia="仿宋" w:cs="仿宋"/>
          <w:szCs w:val="24"/>
          <w:highlight w:val="none"/>
        </w:rPr>
        <w:t>3. 乙方的权利、义务</w:t>
      </w:r>
      <w:r>
        <w:rPr>
          <w:highlight w:val="none"/>
        </w:rPr>
        <w:tab/>
      </w:r>
      <w:r>
        <w:rPr>
          <w:highlight w:val="none"/>
        </w:rPr>
        <w:fldChar w:fldCharType="begin"/>
      </w:r>
      <w:r>
        <w:rPr>
          <w:highlight w:val="none"/>
        </w:rPr>
        <w:instrText xml:space="preserve"> PAGEREF _Toc31008 \h </w:instrText>
      </w:r>
      <w:r>
        <w:rPr>
          <w:highlight w:val="none"/>
        </w:rPr>
        <w:fldChar w:fldCharType="separate"/>
      </w:r>
      <w:r>
        <w:rPr>
          <w:highlight w:val="none"/>
        </w:rPr>
        <w:t>23</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_Toc28975 </w:instrText>
      </w:r>
      <w:r>
        <w:rPr>
          <w:highlight w:val="none"/>
        </w:rPr>
        <w:fldChar w:fldCharType="separate"/>
      </w:r>
      <w:r>
        <w:rPr>
          <w:rFonts w:hint="eastAsia" w:ascii="仿宋" w:hAnsi="仿宋" w:eastAsia="仿宋" w:cs="仿宋"/>
          <w:szCs w:val="24"/>
          <w:highlight w:val="none"/>
        </w:rPr>
        <w:t>3.1人员配备</w:t>
      </w:r>
      <w:r>
        <w:rPr>
          <w:highlight w:val="none"/>
        </w:rPr>
        <w:tab/>
      </w:r>
      <w:r>
        <w:rPr>
          <w:highlight w:val="none"/>
        </w:rPr>
        <w:fldChar w:fldCharType="begin"/>
      </w:r>
      <w:r>
        <w:rPr>
          <w:highlight w:val="none"/>
        </w:rPr>
        <w:instrText xml:space="preserve"> PAGEREF _Toc28975 \h </w:instrText>
      </w:r>
      <w:r>
        <w:rPr>
          <w:highlight w:val="none"/>
        </w:rPr>
        <w:fldChar w:fldCharType="separate"/>
      </w:r>
      <w:r>
        <w:rPr>
          <w:highlight w:val="none"/>
        </w:rPr>
        <w:t>23</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_Toc2636 </w:instrText>
      </w:r>
      <w:r>
        <w:rPr>
          <w:highlight w:val="none"/>
        </w:rPr>
        <w:fldChar w:fldCharType="separate"/>
      </w:r>
      <w:r>
        <w:rPr>
          <w:rFonts w:hint="eastAsia" w:ascii="仿宋" w:hAnsi="仿宋" w:eastAsia="仿宋" w:cs="仿宋"/>
          <w:szCs w:val="24"/>
          <w:highlight w:val="none"/>
        </w:rPr>
        <w:t>★3.4检测成果</w:t>
      </w:r>
      <w:r>
        <w:rPr>
          <w:highlight w:val="none"/>
        </w:rPr>
        <w:tab/>
      </w:r>
      <w:r>
        <w:rPr>
          <w:highlight w:val="none"/>
        </w:rPr>
        <w:fldChar w:fldCharType="begin"/>
      </w:r>
      <w:r>
        <w:rPr>
          <w:highlight w:val="none"/>
        </w:rPr>
        <w:instrText xml:space="preserve"> PAGEREF _Toc2636 \h </w:instrText>
      </w:r>
      <w:r>
        <w:rPr>
          <w:highlight w:val="none"/>
        </w:rPr>
        <w:fldChar w:fldCharType="separate"/>
      </w:r>
      <w:r>
        <w:rPr>
          <w:highlight w:val="none"/>
        </w:rPr>
        <w:t>23</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_Toc21323 </w:instrText>
      </w:r>
      <w:r>
        <w:rPr>
          <w:highlight w:val="none"/>
        </w:rPr>
        <w:fldChar w:fldCharType="separate"/>
      </w:r>
      <w:r>
        <w:rPr>
          <w:rFonts w:hint="eastAsia" w:ascii="仿宋" w:hAnsi="仿宋" w:eastAsia="仿宋" w:cs="仿宋"/>
          <w:szCs w:val="24"/>
          <w:highlight w:val="none"/>
        </w:rPr>
        <w:t>3.6.3履约保函</w:t>
      </w:r>
      <w:r>
        <w:rPr>
          <w:highlight w:val="none"/>
        </w:rPr>
        <w:tab/>
      </w:r>
      <w:r>
        <w:rPr>
          <w:highlight w:val="none"/>
        </w:rPr>
        <w:fldChar w:fldCharType="begin"/>
      </w:r>
      <w:r>
        <w:rPr>
          <w:highlight w:val="none"/>
        </w:rPr>
        <w:instrText xml:space="preserve"> PAGEREF _Toc21323 \h </w:instrText>
      </w:r>
      <w:r>
        <w:rPr>
          <w:highlight w:val="none"/>
        </w:rPr>
        <w:fldChar w:fldCharType="separate"/>
      </w:r>
      <w:r>
        <w:rPr>
          <w:highlight w:val="none"/>
        </w:rPr>
        <w:t>24</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_Toc12986 </w:instrText>
      </w:r>
      <w:r>
        <w:rPr>
          <w:highlight w:val="none"/>
        </w:rPr>
        <w:fldChar w:fldCharType="separate"/>
      </w:r>
      <w:r>
        <w:rPr>
          <w:rFonts w:hint="eastAsia" w:ascii="仿宋" w:hAnsi="仿宋" w:eastAsia="仿宋" w:cs="仿宋"/>
          <w:szCs w:val="24"/>
          <w:highlight w:val="none"/>
        </w:rPr>
        <w:t>★4. 违约责任</w:t>
      </w:r>
      <w:r>
        <w:rPr>
          <w:highlight w:val="none"/>
        </w:rPr>
        <w:tab/>
      </w:r>
      <w:r>
        <w:rPr>
          <w:highlight w:val="none"/>
        </w:rPr>
        <w:fldChar w:fldCharType="begin"/>
      </w:r>
      <w:r>
        <w:rPr>
          <w:highlight w:val="none"/>
        </w:rPr>
        <w:instrText xml:space="preserve"> PAGEREF _Toc12986 \h </w:instrText>
      </w:r>
      <w:r>
        <w:rPr>
          <w:highlight w:val="none"/>
        </w:rPr>
        <w:fldChar w:fldCharType="separate"/>
      </w:r>
      <w:r>
        <w:rPr>
          <w:highlight w:val="none"/>
        </w:rPr>
        <w:t>24</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_Toc16092 </w:instrText>
      </w:r>
      <w:r>
        <w:rPr>
          <w:highlight w:val="none"/>
        </w:rPr>
        <w:fldChar w:fldCharType="separate"/>
      </w:r>
      <w:r>
        <w:rPr>
          <w:rFonts w:hint="eastAsia" w:ascii="仿宋" w:hAnsi="仿宋" w:eastAsia="仿宋" w:cs="仿宋"/>
          <w:szCs w:val="24"/>
          <w:highlight w:val="none"/>
        </w:rPr>
        <w:t>5. 支付</w:t>
      </w:r>
      <w:r>
        <w:rPr>
          <w:highlight w:val="none"/>
        </w:rPr>
        <w:tab/>
      </w:r>
      <w:r>
        <w:rPr>
          <w:highlight w:val="none"/>
        </w:rPr>
        <w:fldChar w:fldCharType="begin"/>
      </w:r>
      <w:r>
        <w:rPr>
          <w:highlight w:val="none"/>
        </w:rPr>
        <w:instrText xml:space="preserve"> PAGEREF _Toc16092 \h </w:instrText>
      </w:r>
      <w:r>
        <w:rPr>
          <w:highlight w:val="none"/>
        </w:rPr>
        <w:fldChar w:fldCharType="separate"/>
      </w:r>
      <w:r>
        <w:rPr>
          <w:highlight w:val="none"/>
        </w:rPr>
        <w:t>25</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_Toc19991 </w:instrText>
      </w:r>
      <w:r>
        <w:rPr>
          <w:highlight w:val="none"/>
        </w:rPr>
        <w:fldChar w:fldCharType="separate"/>
      </w:r>
      <w:r>
        <w:rPr>
          <w:rFonts w:hint="eastAsia" w:ascii="仿宋" w:hAnsi="仿宋" w:eastAsia="仿宋" w:cs="仿宋"/>
          <w:szCs w:val="24"/>
          <w:highlight w:val="none"/>
        </w:rPr>
        <w:t>★5.2检测项目费用计算方式、金额</w:t>
      </w:r>
      <w:r>
        <w:rPr>
          <w:highlight w:val="none"/>
        </w:rPr>
        <w:tab/>
      </w:r>
      <w:r>
        <w:rPr>
          <w:highlight w:val="none"/>
        </w:rPr>
        <w:fldChar w:fldCharType="begin"/>
      </w:r>
      <w:r>
        <w:rPr>
          <w:highlight w:val="none"/>
        </w:rPr>
        <w:instrText xml:space="preserve"> PAGEREF _Toc19991 \h </w:instrText>
      </w:r>
      <w:r>
        <w:rPr>
          <w:highlight w:val="none"/>
        </w:rPr>
        <w:fldChar w:fldCharType="separate"/>
      </w:r>
      <w:r>
        <w:rPr>
          <w:highlight w:val="none"/>
        </w:rPr>
        <w:t>25</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_Toc11444 </w:instrText>
      </w:r>
      <w:r>
        <w:rPr>
          <w:highlight w:val="none"/>
        </w:rPr>
        <w:fldChar w:fldCharType="separate"/>
      </w:r>
      <w:r>
        <w:rPr>
          <w:rFonts w:hint="eastAsia" w:ascii="仿宋" w:hAnsi="仿宋" w:eastAsia="仿宋" w:cs="仿宋"/>
          <w:szCs w:val="24"/>
          <w:highlight w:val="none"/>
        </w:rPr>
        <w:t>5.3支付方式</w:t>
      </w:r>
      <w:r>
        <w:rPr>
          <w:highlight w:val="none"/>
        </w:rPr>
        <w:tab/>
      </w:r>
      <w:r>
        <w:rPr>
          <w:highlight w:val="none"/>
        </w:rPr>
        <w:fldChar w:fldCharType="begin"/>
      </w:r>
      <w:r>
        <w:rPr>
          <w:highlight w:val="none"/>
        </w:rPr>
        <w:instrText xml:space="preserve"> PAGEREF _Toc11444 \h </w:instrText>
      </w:r>
      <w:r>
        <w:rPr>
          <w:highlight w:val="none"/>
        </w:rPr>
        <w:fldChar w:fldCharType="separate"/>
      </w:r>
      <w:r>
        <w:rPr>
          <w:highlight w:val="none"/>
        </w:rPr>
        <w:t>26</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_Toc13918 </w:instrText>
      </w:r>
      <w:r>
        <w:rPr>
          <w:highlight w:val="none"/>
        </w:rPr>
        <w:fldChar w:fldCharType="separate"/>
      </w:r>
      <w:r>
        <w:rPr>
          <w:rFonts w:hint="eastAsia" w:ascii="仿宋" w:hAnsi="仿宋" w:eastAsia="仿宋" w:cs="仿宋"/>
          <w:szCs w:val="24"/>
          <w:highlight w:val="none"/>
        </w:rPr>
        <w:t>6. 合同变更、解除与终止</w:t>
      </w:r>
      <w:r>
        <w:rPr>
          <w:highlight w:val="none"/>
        </w:rPr>
        <w:tab/>
      </w:r>
      <w:r>
        <w:rPr>
          <w:highlight w:val="none"/>
        </w:rPr>
        <w:fldChar w:fldCharType="begin"/>
      </w:r>
      <w:r>
        <w:rPr>
          <w:highlight w:val="none"/>
        </w:rPr>
        <w:instrText xml:space="preserve"> PAGEREF _Toc13918 \h </w:instrText>
      </w:r>
      <w:r>
        <w:rPr>
          <w:highlight w:val="none"/>
        </w:rPr>
        <w:fldChar w:fldCharType="separate"/>
      </w:r>
      <w:r>
        <w:rPr>
          <w:highlight w:val="none"/>
        </w:rPr>
        <w:t>27</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_Toc2446 </w:instrText>
      </w:r>
      <w:r>
        <w:rPr>
          <w:highlight w:val="none"/>
        </w:rPr>
        <w:fldChar w:fldCharType="separate"/>
      </w:r>
      <w:r>
        <w:rPr>
          <w:rFonts w:hint="eastAsia" w:ascii="仿宋" w:hAnsi="仿宋" w:eastAsia="仿宋" w:cs="仿宋"/>
          <w:szCs w:val="24"/>
          <w:highlight w:val="none"/>
        </w:rPr>
        <w:t>6.1 合同变更</w:t>
      </w:r>
      <w:r>
        <w:rPr>
          <w:highlight w:val="none"/>
        </w:rPr>
        <w:tab/>
      </w:r>
      <w:r>
        <w:rPr>
          <w:highlight w:val="none"/>
        </w:rPr>
        <w:fldChar w:fldCharType="begin"/>
      </w:r>
      <w:r>
        <w:rPr>
          <w:highlight w:val="none"/>
        </w:rPr>
        <w:instrText xml:space="preserve"> PAGEREF _Toc2446 \h </w:instrText>
      </w:r>
      <w:r>
        <w:rPr>
          <w:highlight w:val="none"/>
        </w:rPr>
        <w:fldChar w:fldCharType="separate"/>
      </w:r>
      <w:r>
        <w:rPr>
          <w:highlight w:val="none"/>
        </w:rPr>
        <w:t>27</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_Toc23907 </w:instrText>
      </w:r>
      <w:r>
        <w:rPr>
          <w:highlight w:val="none"/>
        </w:rPr>
        <w:fldChar w:fldCharType="separate"/>
      </w:r>
      <w:r>
        <w:rPr>
          <w:rFonts w:hint="eastAsia" w:ascii="仿宋" w:hAnsi="仿宋" w:eastAsia="仿宋" w:cs="仿宋"/>
          <w:szCs w:val="24"/>
          <w:highlight w:val="none"/>
        </w:rPr>
        <w:t>7. 争议解决</w:t>
      </w:r>
      <w:r>
        <w:rPr>
          <w:highlight w:val="none"/>
        </w:rPr>
        <w:tab/>
      </w:r>
      <w:r>
        <w:rPr>
          <w:highlight w:val="none"/>
        </w:rPr>
        <w:fldChar w:fldCharType="begin"/>
      </w:r>
      <w:r>
        <w:rPr>
          <w:highlight w:val="none"/>
        </w:rPr>
        <w:instrText xml:space="preserve"> PAGEREF _Toc23907 \h </w:instrText>
      </w:r>
      <w:r>
        <w:rPr>
          <w:highlight w:val="none"/>
        </w:rPr>
        <w:fldChar w:fldCharType="separate"/>
      </w:r>
      <w:r>
        <w:rPr>
          <w:highlight w:val="none"/>
        </w:rPr>
        <w:t>29</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_Toc24552 </w:instrText>
      </w:r>
      <w:r>
        <w:rPr>
          <w:highlight w:val="none"/>
        </w:rPr>
        <w:fldChar w:fldCharType="separate"/>
      </w:r>
      <w:r>
        <w:rPr>
          <w:rFonts w:hint="eastAsia" w:ascii="仿宋" w:hAnsi="仿宋" w:eastAsia="仿宋" w:cs="仿宋"/>
          <w:szCs w:val="24"/>
          <w:highlight w:val="none"/>
        </w:rPr>
        <w:t>7.2 仲裁或诉讼</w:t>
      </w:r>
      <w:r>
        <w:rPr>
          <w:highlight w:val="none"/>
        </w:rPr>
        <w:tab/>
      </w:r>
      <w:r>
        <w:rPr>
          <w:highlight w:val="none"/>
        </w:rPr>
        <w:fldChar w:fldCharType="begin"/>
      </w:r>
      <w:r>
        <w:rPr>
          <w:highlight w:val="none"/>
        </w:rPr>
        <w:instrText xml:space="preserve"> PAGEREF _Toc24552 \h </w:instrText>
      </w:r>
      <w:r>
        <w:rPr>
          <w:highlight w:val="none"/>
        </w:rPr>
        <w:fldChar w:fldCharType="separate"/>
      </w:r>
      <w:r>
        <w:rPr>
          <w:highlight w:val="none"/>
        </w:rPr>
        <w:t>29</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_Toc27579 </w:instrText>
      </w:r>
      <w:r>
        <w:rPr>
          <w:highlight w:val="none"/>
        </w:rPr>
        <w:fldChar w:fldCharType="separate"/>
      </w:r>
      <w:r>
        <w:rPr>
          <w:rFonts w:hint="eastAsia" w:ascii="仿宋" w:hAnsi="仿宋" w:eastAsia="仿宋" w:cs="仿宋"/>
          <w:szCs w:val="24"/>
          <w:highlight w:val="none"/>
        </w:rPr>
        <w:t>8.1保密</w:t>
      </w:r>
      <w:r>
        <w:rPr>
          <w:highlight w:val="none"/>
        </w:rPr>
        <w:tab/>
      </w:r>
      <w:r>
        <w:rPr>
          <w:highlight w:val="none"/>
        </w:rPr>
        <w:fldChar w:fldCharType="begin"/>
      </w:r>
      <w:r>
        <w:rPr>
          <w:highlight w:val="none"/>
        </w:rPr>
        <w:instrText xml:space="preserve"> PAGEREF _Toc27579 \h </w:instrText>
      </w:r>
      <w:r>
        <w:rPr>
          <w:highlight w:val="none"/>
        </w:rPr>
        <w:fldChar w:fldCharType="separate"/>
      </w:r>
      <w:r>
        <w:rPr>
          <w:highlight w:val="none"/>
        </w:rPr>
        <w:t>29</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_Toc9677 </w:instrText>
      </w:r>
      <w:r>
        <w:rPr>
          <w:highlight w:val="none"/>
        </w:rPr>
        <w:fldChar w:fldCharType="separate"/>
      </w:r>
      <w:r>
        <w:rPr>
          <w:rFonts w:hint="eastAsia" w:ascii="仿宋" w:hAnsi="仿宋" w:eastAsia="仿宋" w:cs="仿宋"/>
          <w:szCs w:val="24"/>
          <w:highlight w:val="none"/>
        </w:rPr>
        <w:t>8.2通知与送达</w:t>
      </w:r>
      <w:r>
        <w:rPr>
          <w:highlight w:val="none"/>
        </w:rPr>
        <w:tab/>
      </w:r>
      <w:r>
        <w:rPr>
          <w:highlight w:val="none"/>
        </w:rPr>
        <w:fldChar w:fldCharType="begin"/>
      </w:r>
      <w:r>
        <w:rPr>
          <w:highlight w:val="none"/>
        </w:rPr>
        <w:instrText xml:space="preserve"> PAGEREF _Toc9677 \h </w:instrText>
      </w:r>
      <w:r>
        <w:rPr>
          <w:highlight w:val="none"/>
        </w:rPr>
        <w:fldChar w:fldCharType="separate"/>
      </w:r>
      <w:r>
        <w:rPr>
          <w:highlight w:val="none"/>
        </w:rPr>
        <w:t>29</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_Toc22506 </w:instrText>
      </w:r>
      <w:r>
        <w:rPr>
          <w:highlight w:val="none"/>
        </w:rPr>
        <w:fldChar w:fldCharType="separate"/>
      </w:r>
      <w:r>
        <w:rPr>
          <w:rFonts w:hint="eastAsia" w:ascii="仿宋" w:hAnsi="仿宋" w:eastAsia="仿宋" w:cs="仿宋"/>
          <w:szCs w:val="24"/>
          <w:highlight w:val="none"/>
        </w:rPr>
        <w:t>8.3知识产权</w:t>
      </w:r>
      <w:r>
        <w:rPr>
          <w:highlight w:val="none"/>
        </w:rPr>
        <w:tab/>
      </w:r>
      <w:r>
        <w:rPr>
          <w:highlight w:val="none"/>
        </w:rPr>
        <w:fldChar w:fldCharType="begin"/>
      </w:r>
      <w:r>
        <w:rPr>
          <w:highlight w:val="none"/>
        </w:rPr>
        <w:instrText xml:space="preserve"> PAGEREF _Toc22506 \h </w:instrText>
      </w:r>
      <w:r>
        <w:rPr>
          <w:highlight w:val="none"/>
        </w:rPr>
        <w:fldChar w:fldCharType="separate"/>
      </w:r>
      <w:r>
        <w:rPr>
          <w:highlight w:val="none"/>
        </w:rPr>
        <w:t>30</w:t>
      </w:r>
      <w:r>
        <w:rPr>
          <w:highlight w:val="none"/>
        </w:rPr>
        <w:fldChar w:fldCharType="end"/>
      </w:r>
      <w:r>
        <w:rPr>
          <w:highlight w:val="none"/>
        </w:rPr>
        <w:fldChar w:fldCharType="end"/>
      </w:r>
    </w:p>
    <w:p>
      <w:pPr>
        <w:pStyle w:val="107"/>
        <w:tabs>
          <w:tab w:val="right" w:leader="dot" w:pos="8306"/>
        </w:tabs>
        <w:ind w:left="420" w:firstLine="200" w:firstLineChars="100"/>
        <w:rPr>
          <w:highlight w:val="none"/>
        </w:rPr>
      </w:pPr>
      <w:r>
        <w:rPr>
          <w:highlight w:val="none"/>
        </w:rPr>
        <w:fldChar w:fldCharType="begin"/>
      </w:r>
      <w:r>
        <w:rPr>
          <w:highlight w:val="none"/>
        </w:rPr>
        <w:instrText xml:space="preserve"> HYPERLINK \l _Toc30151 </w:instrText>
      </w:r>
      <w:r>
        <w:rPr>
          <w:highlight w:val="none"/>
        </w:rPr>
        <w:fldChar w:fldCharType="separate"/>
      </w:r>
      <w:r>
        <w:rPr>
          <w:rFonts w:hint="eastAsia" w:ascii="仿宋" w:hAnsi="仿宋" w:eastAsia="仿宋" w:cs="仿宋"/>
          <w:szCs w:val="24"/>
          <w:highlight w:val="none"/>
        </w:rPr>
        <w:t>9. 补充条款</w:t>
      </w:r>
      <w:r>
        <w:rPr>
          <w:highlight w:val="none"/>
        </w:rPr>
        <w:tab/>
      </w:r>
      <w:r>
        <w:rPr>
          <w:highlight w:val="none"/>
        </w:rPr>
        <w:fldChar w:fldCharType="begin"/>
      </w:r>
      <w:r>
        <w:rPr>
          <w:highlight w:val="none"/>
        </w:rPr>
        <w:instrText xml:space="preserve"> PAGEREF _Toc30151 \h </w:instrText>
      </w:r>
      <w:r>
        <w:rPr>
          <w:highlight w:val="none"/>
        </w:rPr>
        <w:fldChar w:fldCharType="separate"/>
      </w:r>
      <w:r>
        <w:rPr>
          <w:highlight w:val="none"/>
        </w:rPr>
        <w:t>30</w:t>
      </w:r>
      <w:r>
        <w:rPr>
          <w:highlight w:val="none"/>
        </w:rPr>
        <w:fldChar w:fldCharType="end"/>
      </w:r>
      <w:r>
        <w:rPr>
          <w:highlight w:val="none"/>
        </w:rPr>
        <w:fldChar w:fldCharType="end"/>
      </w:r>
    </w:p>
    <w:p>
      <w:pPr>
        <w:pStyle w:val="106"/>
        <w:tabs>
          <w:tab w:val="right" w:leader="dot" w:pos="8306"/>
        </w:tabs>
        <w:rPr>
          <w:highlight w:val="none"/>
        </w:rPr>
      </w:pPr>
      <w:r>
        <w:rPr>
          <w:highlight w:val="none"/>
        </w:rPr>
        <w:fldChar w:fldCharType="begin"/>
      </w:r>
      <w:r>
        <w:rPr>
          <w:highlight w:val="none"/>
        </w:rPr>
        <w:instrText xml:space="preserve"> HYPERLINK \l "_Toc16384" </w:instrText>
      </w:r>
      <w:r>
        <w:rPr>
          <w:highlight w:val="none"/>
        </w:rPr>
        <w:fldChar w:fldCharType="separate"/>
      </w:r>
      <w:r>
        <w:rPr>
          <w:rFonts w:hint="eastAsia" w:ascii="仿宋" w:hAnsi="仿宋" w:eastAsia="仿宋" w:cs="仿宋"/>
          <w:highlight w:val="none"/>
        </w:rPr>
        <w:t>附录</w:t>
      </w:r>
      <w:r>
        <w:rPr>
          <w:highlight w:val="none"/>
        </w:rPr>
        <w:tab/>
      </w:r>
      <w:r>
        <w:rPr>
          <w:highlight w:val="none"/>
        </w:rPr>
        <w:fldChar w:fldCharType="begin"/>
      </w:r>
      <w:r>
        <w:rPr>
          <w:highlight w:val="none"/>
        </w:rPr>
        <w:instrText xml:space="preserve"> PAGEREF _Toc16384 \h </w:instrText>
      </w:r>
      <w:r>
        <w:rPr>
          <w:highlight w:val="none"/>
        </w:rPr>
        <w:fldChar w:fldCharType="separate"/>
      </w:r>
      <w:r>
        <w:rPr>
          <w:highlight w:val="none"/>
        </w:rPr>
        <w:t>31</w:t>
      </w:r>
      <w:r>
        <w:rPr>
          <w:highlight w:val="none"/>
        </w:rPr>
        <w:fldChar w:fldCharType="end"/>
      </w:r>
      <w:r>
        <w:rPr>
          <w:highlight w:val="none"/>
        </w:rPr>
        <w:fldChar w:fldCharType="end"/>
      </w:r>
    </w:p>
    <w:p>
      <w:pPr>
        <w:pStyle w:val="106"/>
        <w:tabs>
          <w:tab w:val="right" w:leader="dot" w:pos="8306"/>
        </w:tabs>
        <w:rPr>
          <w:highlight w:val="none"/>
        </w:rPr>
      </w:pPr>
      <w:r>
        <w:rPr>
          <w:highlight w:val="none"/>
        </w:rPr>
        <w:fldChar w:fldCharType="begin"/>
      </w:r>
      <w:r>
        <w:rPr>
          <w:highlight w:val="none"/>
        </w:rPr>
        <w:instrText xml:space="preserve"> HYPERLINK \l "_Toc29845" </w:instrText>
      </w:r>
      <w:r>
        <w:rPr>
          <w:highlight w:val="none"/>
        </w:rPr>
        <w:fldChar w:fldCharType="separate"/>
      </w:r>
      <w:r>
        <w:rPr>
          <w:rFonts w:hint="eastAsia" w:ascii="仿宋" w:hAnsi="仿宋" w:eastAsia="仿宋" w:cs="仿宋"/>
          <w:bCs/>
          <w:szCs w:val="36"/>
          <w:highlight w:val="none"/>
        </w:rPr>
        <w:t>工程质量检测费用清单</w:t>
      </w:r>
      <w:r>
        <w:rPr>
          <w:highlight w:val="none"/>
        </w:rPr>
        <w:tab/>
      </w:r>
      <w:r>
        <w:rPr>
          <w:highlight w:val="none"/>
        </w:rPr>
        <w:fldChar w:fldCharType="begin"/>
      </w:r>
      <w:r>
        <w:rPr>
          <w:highlight w:val="none"/>
        </w:rPr>
        <w:instrText xml:space="preserve"> PAGEREF _Toc29845 \h </w:instrText>
      </w:r>
      <w:r>
        <w:rPr>
          <w:highlight w:val="none"/>
        </w:rPr>
        <w:fldChar w:fldCharType="separate"/>
      </w:r>
      <w:r>
        <w:rPr>
          <w:highlight w:val="none"/>
        </w:rPr>
        <w:t>31</w:t>
      </w:r>
      <w:r>
        <w:rPr>
          <w:highlight w:val="none"/>
        </w:rPr>
        <w:fldChar w:fldCharType="end"/>
      </w:r>
      <w:r>
        <w:rPr>
          <w:highlight w:val="none"/>
        </w:rPr>
        <w:fldChar w:fldCharType="end"/>
      </w:r>
    </w:p>
    <w:p>
      <w:pPr>
        <w:rPr>
          <w:highlight w:val="none"/>
        </w:rPr>
        <w:sectPr>
          <w:headerReference r:id="rId3" w:type="default"/>
          <w:footerReference r:id="rId4" w:type="default"/>
          <w:pgSz w:w="11906" w:h="16838"/>
          <w:pgMar w:top="1440" w:right="1800" w:bottom="1440" w:left="1800" w:header="851" w:footer="992" w:gutter="0"/>
          <w:cols w:space="720" w:num="1"/>
          <w:docGrid w:linePitch="312" w:charSpace="0"/>
        </w:sectPr>
      </w:pPr>
      <w:r>
        <w:rPr>
          <w:highlight w:val="none"/>
        </w:rPr>
        <w:fldChar w:fldCharType="end"/>
      </w:r>
    </w:p>
    <w:p>
      <w:pPr>
        <w:tabs>
          <w:tab w:val="left" w:pos="3120"/>
        </w:tabs>
        <w:spacing w:line="640" w:lineRule="exact"/>
        <w:ind w:firstLine="2730" w:firstLineChars="1300"/>
        <w:rPr>
          <w:rFonts w:ascii="仿宋" w:hAnsi="仿宋" w:eastAsia="仿宋" w:cs="Times New Roman"/>
          <w:b/>
          <w:bCs/>
          <w:sz w:val="32"/>
          <w:szCs w:val="32"/>
          <w:highlight w:val="none"/>
        </w:rPr>
      </w:pPr>
      <w:r>
        <w:rPr>
          <w:rFonts w:ascii="仿宋" w:hAnsi="仿宋" w:eastAsia="仿宋"/>
          <w:highlight w:val="none"/>
        </w:rPr>
        <w:fldChar w:fldCharType="end"/>
      </w:r>
      <w:bookmarkStart w:id="0" w:name="_Toc10627387"/>
      <w:bookmarkStart w:id="1" w:name="_Toc13886"/>
      <w:r>
        <w:rPr>
          <w:rFonts w:hint="eastAsia" w:hAnsi="宋体" w:cs="Times New Roman"/>
          <w:b/>
          <w:sz w:val="36"/>
          <w:szCs w:val="22"/>
          <w:highlight w:val="none"/>
        </w:rPr>
        <w:t>第一部分协议书</w:t>
      </w:r>
      <w:bookmarkEnd w:id="0"/>
      <w:bookmarkEnd w:id="1"/>
    </w:p>
    <w:p>
      <w:pPr>
        <w:adjustRightInd w:val="0"/>
        <w:snapToGrid w:val="0"/>
        <w:spacing w:line="640" w:lineRule="exact"/>
        <w:ind w:firstLine="800" w:firstLineChars="250"/>
        <w:rPr>
          <w:rFonts w:ascii="仿宋" w:hAnsi="仿宋" w:eastAsia="仿宋" w:cs="Times New Roman"/>
          <w:sz w:val="32"/>
          <w:szCs w:val="32"/>
          <w:highlight w:val="none"/>
        </w:rPr>
      </w:pPr>
    </w:p>
    <w:p>
      <w:pPr>
        <w:adjustRightInd w:val="0"/>
        <w:snapToGrid w:val="0"/>
        <w:spacing w:line="640" w:lineRule="exact"/>
        <w:ind w:firstLine="480" w:firstLineChars="200"/>
        <w:rPr>
          <w:rFonts w:ascii="仿宋" w:hAnsi="仿宋" w:eastAsia="仿宋" w:cs="仿宋"/>
          <w:b/>
          <w:bCs/>
          <w:sz w:val="32"/>
          <w:szCs w:val="32"/>
          <w:highlight w:val="none"/>
        </w:rPr>
      </w:pPr>
      <w:r>
        <w:rPr>
          <w:rFonts w:hint="eastAsia" w:ascii="仿宋" w:hAnsi="仿宋" w:eastAsia="仿宋" w:cs="仿宋"/>
          <w:sz w:val="24"/>
          <w:szCs w:val="22"/>
          <w:highlight w:val="none"/>
        </w:rPr>
        <w:t>委托单位全称（甲方）：</w:t>
      </w:r>
    </w:p>
    <w:p>
      <w:pPr>
        <w:adjustRightInd w:val="0"/>
        <w:snapToGrid w:val="0"/>
        <w:spacing w:line="6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检测单位全称（乙方）：</w:t>
      </w:r>
    </w:p>
    <w:p>
      <w:pPr>
        <w:adjustRightInd w:val="0"/>
        <w:snapToGrid w:val="0"/>
        <w:spacing w:line="640" w:lineRule="exact"/>
        <w:ind w:firstLine="480" w:firstLineChars="200"/>
        <w:rPr>
          <w:rFonts w:ascii="仿宋" w:hAnsi="仿宋" w:eastAsia="仿宋" w:cs="仿宋"/>
          <w:sz w:val="24"/>
          <w:szCs w:val="22"/>
          <w:highlight w:val="none"/>
        </w:rPr>
      </w:pPr>
      <w:r>
        <w:rPr>
          <w:rFonts w:hint="eastAsia" w:ascii="仿宋" w:hAnsi="仿宋" w:eastAsia="仿宋" w:cs="仿宋"/>
          <w:sz w:val="24"/>
          <w:szCs w:val="22"/>
          <w:highlight w:val="none"/>
        </w:rPr>
        <w:t>根据《中华人民共和国民法典》、《中华人民共和国建筑法》及其他有关法律、法规，甲、乙双方在遵循平等、自愿、公平、互利和诚实信用的原则下，就下述建设工程委托质量检测及相关服务事项协商一致，订立本合同。</w:t>
      </w:r>
    </w:p>
    <w:p>
      <w:pPr>
        <w:pStyle w:val="4"/>
        <w:numPr>
          <w:ilvl w:val="0"/>
          <w:numId w:val="0"/>
        </w:numPr>
        <w:tabs>
          <w:tab w:val="clear" w:pos="576"/>
        </w:tabs>
        <w:spacing w:line="640" w:lineRule="exact"/>
        <w:outlineLvl w:val="0"/>
        <w:rPr>
          <w:rFonts w:ascii="仿宋" w:hAnsi="仿宋" w:eastAsia="仿宋" w:cs="仿宋"/>
          <w:b/>
          <w:highlight w:val="none"/>
        </w:rPr>
      </w:pPr>
      <w:bookmarkStart w:id="2" w:name="_Toc10627388"/>
      <w:bookmarkStart w:id="3" w:name="_Toc476"/>
      <w:r>
        <w:rPr>
          <w:rFonts w:hint="eastAsia" w:ascii="仿宋" w:hAnsi="仿宋" w:eastAsia="仿宋" w:cs="仿宋"/>
          <w:b/>
          <w:highlight w:val="none"/>
        </w:rPr>
        <w:t>一、工程概况</w:t>
      </w:r>
      <w:bookmarkEnd w:id="2"/>
      <w:bookmarkEnd w:id="3"/>
    </w:p>
    <w:p>
      <w:pPr>
        <w:spacing w:line="640" w:lineRule="exact"/>
        <w:ind w:firstLine="480" w:firstLineChars="200"/>
        <w:rPr>
          <w:rFonts w:ascii="仿宋" w:hAnsi="仿宋" w:eastAsia="仿宋" w:cs="仿宋"/>
          <w:sz w:val="24"/>
          <w:szCs w:val="24"/>
          <w:highlight w:val="none"/>
          <w:u w:val="single"/>
        </w:rPr>
      </w:pPr>
      <w:r>
        <w:rPr>
          <w:rFonts w:hint="eastAsia" w:ascii="仿宋" w:hAnsi="仿宋" w:eastAsia="仿宋" w:cs="仿宋"/>
          <w:sz w:val="24"/>
          <w:highlight w:val="none"/>
        </w:rPr>
        <w:t>立项批文编号或广东省企业基本建设投资项目备案证备案项目编号：</w:t>
      </w:r>
    </w:p>
    <w:p>
      <w:pPr>
        <w:spacing w:line="640" w:lineRule="exact"/>
        <w:ind w:firstLine="480" w:firstLineChars="200"/>
        <w:rPr>
          <w:rFonts w:hint="eastAsia" w:ascii="仿宋" w:hAnsi="仿宋" w:eastAsia="仿宋" w:cs="仿宋"/>
          <w:sz w:val="32"/>
          <w:szCs w:val="32"/>
          <w:highlight w:val="none"/>
          <w:lang w:val="en-US" w:eastAsia="zh-CN"/>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花都区老城区停车场改造项目(分项目三：花都区老干部活动中心项目)</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工程地点：广州市花都区</w:t>
      </w:r>
    </w:p>
    <w:p>
      <w:pPr>
        <w:adjustRightInd w:val="0"/>
        <w:snapToGrid w:val="0"/>
        <w:spacing w:line="640" w:lineRule="exact"/>
        <w:ind w:firstLine="475" w:firstLineChars="198"/>
        <w:rPr>
          <w:rFonts w:ascii="仿宋" w:hAnsi="仿宋" w:eastAsia="仿宋" w:cs="仿宋"/>
          <w:sz w:val="24"/>
          <w:highlight w:val="none"/>
        </w:rPr>
      </w:pPr>
      <w:r>
        <w:rPr>
          <w:rFonts w:hint="eastAsia" w:ascii="仿宋" w:hAnsi="仿宋" w:eastAsia="仿宋" w:cs="仿宋"/>
          <w:sz w:val="24"/>
          <w:highlight w:val="none"/>
        </w:rPr>
        <w:t>工程规模：本次项目位于花都区老干局地块内，项目拟在老干部活动中心前广场（北广场）建设地下车库 2 层，负一层设置充电桩车位 49 泊，负二层设置机械车架泊位 126 泊，普通车位 1 泊，地下室共计设置车位 176 泊，地下建筑面积约为 5134m²，地上新建梯屋及开关房，地上建筑面积约为 126m²。老干部活动中心前广场（北广场）园林铺装改造 6667m²，新建景观构筑物 1225 m²，绿化工程 1000m²，配置黑色金属座椅、红砖树池座椅、球形城市雕塑、宣传栏、旗杆垃圾桶等景观小品工程。其他工程包括门楼立面改造、门楼室内墙面翻新、电房立面改造、围墙立面翻新、门球场构筑物以及停车场闸机等。</w:t>
      </w:r>
    </w:p>
    <w:p>
      <w:pPr>
        <w:adjustRightInd w:val="0"/>
        <w:snapToGrid w:val="0"/>
        <w:spacing w:line="640" w:lineRule="exact"/>
        <w:ind w:firstLine="475" w:firstLineChars="198"/>
        <w:rPr>
          <w:rFonts w:hint="default" w:ascii="仿宋" w:hAnsi="仿宋" w:eastAsia="仿宋" w:cs="仿宋"/>
          <w:sz w:val="24"/>
          <w:highlight w:val="none"/>
          <w:lang w:val="en-US" w:eastAsia="zh-CN"/>
        </w:rPr>
      </w:pPr>
      <w:r>
        <w:rPr>
          <w:rFonts w:hint="eastAsia" w:ascii="仿宋" w:hAnsi="仿宋" w:eastAsia="仿宋" w:cs="仿宋"/>
          <w:sz w:val="24"/>
          <w:highlight w:val="none"/>
        </w:rPr>
        <w:t>资金来源：</w:t>
      </w:r>
      <w:r>
        <w:rPr>
          <w:rFonts w:hint="eastAsia" w:ascii="仿宋" w:hAnsi="仿宋" w:eastAsia="仿宋" w:cs="仿宋"/>
          <w:sz w:val="24"/>
          <w:highlight w:val="none"/>
          <w:lang w:val="en-US" w:eastAsia="zh-CN"/>
        </w:rPr>
        <w:t>企业自筹</w:t>
      </w:r>
    </w:p>
    <w:p>
      <w:pPr>
        <w:pStyle w:val="4"/>
        <w:numPr>
          <w:ilvl w:val="0"/>
          <w:numId w:val="0"/>
        </w:numPr>
        <w:tabs>
          <w:tab w:val="clear" w:pos="576"/>
        </w:tabs>
        <w:spacing w:line="640" w:lineRule="exact"/>
        <w:outlineLvl w:val="0"/>
        <w:rPr>
          <w:rFonts w:ascii="仿宋" w:hAnsi="仿宋" w:eastAsia="仿宋" w:cs="仿宋"/>
          <w:b/>
          <w:highlight w:val="none"/>
        </w:rPr>
      </w:pPr>
      <w:bookmarkStart w:id="4" w:name="_Toc25600"/>
      <w:bookmarkStart w:id="5" w:name="_Toc10627389"/>
      <w:r>
        <w:rPr>
          <w:rFonts w:hint="eastAsia" w:ascii="仿宋" w:hAnsi="仿宋" w:eastAsia="仿宋" w:cs="仿宋"/>
          <w:b/>
          <w:highlight w:val="none"/>
        </w:rPr>
        <w:t>二、服务范围及工作内容</w:t>
      </w:r>
      <w:bookmarkEnd w:id="4"/>
      <w:bookmarkEnd w:id="5"/>
    </w:p>
    <w:p>
      <w:pPr>
        <w:spacing w:line="360" w:lineRule="auto"/>
        <w:ind w:firstLine="426" w:firstLineChars="177"/>
        <w:rPr>
          <w:rFonts w:ascii="仿宋" w:hAnsi="仿宋" w:eastAsia="仿宋" w:cs="仿宋"/>
          <w:sz w:val="24"/>
          <w:szCs w:val="24"/>
          <w:highlight w:val="none"/>
          <w:u w:val="single"/>
        </w:rPr>
      </w:pPr>
      <w:r>
        <w:rPr>
          <w:rFonts w:hint="eastAsia" w:ascii="仿宋" w:hAnsi="仿宋" w:eastAsia="仿宋" w:cs="仿宋"/>
          <w:b/>
          <w:bCs/>
          <w:sz w:val="24"/>
          <w:highlight w:val="none"/>
        </w:rPr>
        <w:t>1.双方约定的服务范围及工作内容</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花都区老城区停车场改造项目(分项目三：花都区老干部活动中心项目)</w:t>
      </w:r>
      <w:r>
        <w:rPr>
          <w:rFonts w:hint="eastAsia" w:ascii="仿宋" w:hAnsi="仿宋" w:eastAsia="仿宋" w:cs="仿宋"/>
          <w:sz w:val="24"/>
          <w:szCs w:val="24"/>
          <w:highlight w:val="none"/>
          <w:u w:val="single"/>
        </w:rPr>
        <w:t>第三方检测服务</w:t>
      </w:r>
      <w:r>
        <w:rPr>
          <w:rFonts w:hint="eastAsia" w:ascii="仿宋" w:hAnsi="仿宋" w:eastAsia="仿宋" w:cs="仿宋"/>
          <w:sz w:val="24"/>
          <w:highlight w:val="none"/>
          <w:u w:val="single"/>
        </w:rPr>
        <w:t>包括不限于</w:t>
      </w:r>
      <w:r>
        <w:rPr>
          <w:rFonts w:hint="eastAsia" w:ascii="仿宋" w:hAnsi="仿宋" w:eastAsia="仿宋" w:cs="仿宋"/>
          <w:sz w:val="24"/>
          <w:szCs w:val="24"/>
          <w:highlight w:val="none"/>
          <w:u w:val="single"/>
        </w:rPr>
        <w:t>，如地基及基础检测、项目材料检验与节能、室内环境、照明照度检测、主体结构检测、砌体结构工程现场检测及危大工程监测、沉降监测等质检、安监和住建局要求的检测、监测项。以及为工程验收提供依据的检测项,服务范围除以上工作外，还包括但不限于以下内容：</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与工程所在行政区域的相关建设行政主管部门和监督部门所进行的协调工作，且合同价中已经综合考虑了该项协调工作的费用。如申报检测技术成果的审批，保证技术成果能够通过相关部门认可，确保不因检测工作影响本工程项目的建设进度和竣工验收。</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（2）在进行检测任务的过程中与该工程相关的施工单位、监理单位、设计单位、业主、建设管理单位、建设主管部门等相关单位的协调工作，且合同价中已经综合考虑了该项协调工作的费用。</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（3）因按相关规定须与行业、行政监督部门传输报送检测数据信息的工作，且合同价中已经综合考虑了该项协调工作的费用。</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（4）根据相关规范和标准、主管部门文件的规定以及设计图纸的有关要求，结合工程实际情况编制相关项目的《检测方案》，并报质监部门备案（如需要）。</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（5）负责检测的工程质量需符合《建设工程质量管理条例》等国家相关管理要求。</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（具体以招标文件、施工图纸、检测方案为准）。</w:t>
      </w:r>
    </w:p>
    <w:p>
      <w:pPr>
        <w:pStyle w:val="13"/>
        <w:rPr>
          <w:rFonts w:ascii="仿宋" w:hAnsi="仿宋" w:eastAsia="仿宋" w:cs="仿宋"/>
          <w:highlight w:val="none"/>
        </w:rPr>
      </w:pPr>
    </w:p>
    <w:p>
      <w:pPr>
        <w:spacing w:beforeLines="20" w:afterLines="20" w:line="360" w:lineRule="auto"/>
        <w:ind w:firstLine="241" w:firstLineChars="100"/>
        <w:rPr>
          <w:rFonts w:ascii="仿宋" w:hAnsi="仿宋" w:eastAsia="仿宋" w:cs="仿宋"/>
          <w:sz w:val="24"/>
          <w:highlight w:val="none"/>
        </w:rPr>
      </w:pPr>
      <w:r>
        <w:rPr>
          <w:rFonts w:hint="eastAsia" w:ascii="仿宋" w:hAnsi="仿宋" w:eastAsia="仿宋" w:cs="仿宋"/>
          <w:b/>
          <w:sz w:val="24"/>
          <w:szCs w:val="24"/>
          <w:highlight w:val="none"/>
        </w:rPr>
        <w:t>2.服务方式</w:t>
      </w:r>
      <w:r>
        <w:rPr>
          <w:rFonts w:hint="eastAsia" w:ascii="仿宋" w:hAnsi="仿宋" w:eastAsia="仿宋" w:cs="仿宋"/>
          <w:sz w:val="24"/>
          <w:highlight w:val="none"/>
        </w:rPr>
        <w:t>：</w:t>
      </w:r>
      <w:r>
        <w:rPr>
          <w:rFonts w:hint="eastAsia" w:ascii="仿宋" w:hAnsi="仿宋" w:eastAsia="仿宋" w:cs="仿宋"/>
          <w:color w:val="000000"/>
          <w:sz w:val="24"/>
          <w:highlight w:val="none"/>
          <w:u w:val="single"/>
        </w:rPr>
        <w:t>包括但不限于人工费、材料费、机械设备费、设备进出场费、检（监）测试验费、基准点埋设与联测费用、测点埋设和损坏修复费（并且包括相关监测频率不得少于设计文件和规范要求所规定的频率）、各项措施费（包括但不限于安全文明施工、临水临电安装、临时道路铺设、机械设备进出场、工作面清理及整理、检测配载、桩头处理、试坑开挖、疏干排水、工作搭架、工作棚、锚桩及焊接等相关费用）监测对象的处理及修复、工作场地的清理、报告编写费、配合协调费、工程保险、管理费、规费、利润、税金、风险费用等一切相关费用。</w:t>
      </w:r>
    </w:p>
    <w:p>
      <w:pPr>
        <w:spacing w:beforeLines="20" w:afterLines="20" w:line="360" w:lineRule="auto"/>
        <w:rPr>
          <w:rFonts w:ascii="仿宋" w:hAnsi="仿宋" w:eastAsia="仿宋" w:cs="仿宋"/>
          <w:sz w:val="24"/>
          <w:highlight w:val="none"/>
        </w:rPr>
      </w:pPr>
    </w:p>
    <w:p>
      <w:pPr>
        <w:spacing w:line="360" w:lineRule="auto"/>
        <w:ind w:firstLine="426" w:firstLineChars="177"/>
        <w:rPr>
          <w:rFonts w:ascii="仿宋" w:hAnsi="仿宋" w:eastAsia="仿宋" w:cs="仿宋"/>
          <w:sz w:val="24"/>
          <w:szCs w:val="24"/>
          <w:highlight w:val="none"/>
          <w:u w:val="single"/>
        </w:rPr>
      </w:pPr>
      <w:r>
        <w:rPr>
          <w:rFonts w:hint="eastAsia" w:ascii="仿宋" w:hAnsi="仿宋" w:eastAsia="仿宋" w:cs="仿宋"/>
          <w:b/>
          <w:sz w:val="24"/>
          <w:szCs w:val="24"/>
          <w:highlight w:val="none"/>
        </w:rPr>
        <w:t>3.检测标准</w:t>
      </w:r>
      <w:r>
        <w:rPr>
          <w:rFonts w:hint="eastAsia" w:ascii="仿宋" w:hAnsi="仿宋" w:eastAsia="仿宋" w:cs="仿宋"/>
          <w:sz w:val="24"/>
          <w:highlight w:val="none"/>
        </w:rPr>
        <w:t>：</w:t>
      </w:r>
      <w:r>
        <w:rPr>
          <w:rFonts w:hint="eastAsia" w:ascii="仿宋" w:hAnsi="仿宋" w:eastAsia="仿宋" w:cs="仿宋"/>
          <w:sz w:val="24"/>
          <w:szCs w:val="24"/>
          <w:highlight w:val="none"/>
          <w:u w:val="single"/>
        </w:rPr>
        <w:t xml:space="preserve">①《建设工程质量管理条例文件汇编》（广州地区建设工程质量安全监督站编制），②相关检测规范：国家行业标准《建筑桩基技术规范》（JGJ94—2008）、国家标准《建筑地基基础设计规范》（GB50007-2011）、国家标准《岩土工程勘测规范》（GB50021-2001（2009版））、国家行业标准《建筑基桩检测技术规程》（JGJ106—2014）、国家行业标准《建筑地基处理技术规程》（JGJ79—2012）、国家标准《钻芯法检测混凝土强度技术规程》(（JGJ/T384-2016）、国家行业标准《建筑变形测量规程》（JGJ8—2016）、国家标准《超声回弹综合法检测混凝土强度技术规范》（CECS02：2005），③《转发省建设厅〈广东省桩基质量检测技术规定〉（试行）的通知》（穗建筑[2001]395号），④《关于印发〈广州市建筑工程结构实体质量监督抽检暂行办法〉的通知》（穗建质监字[2007]31号），⑤《民用建筑工程室内环境污染控制规范》（GB50325—2010）(2013年版)），⑥国家其他检测规范、强制性标准，⑦以上标准若有更新，以最新版本为准。 </w:t>
      </w:r>
    </w:p>
    <w:p>
      <w:pPr>
        <w:spacing w:line="360" w:lineRule="auto"/>
        <w:ind w:firstLine="424" w:firstLineChars="177"/>
        <w:rPr>
          <w:rFonts w:ascii="仿宋" w:hAnsi="仿宋" w:eastAsia="仿宋" w:cs="仿宋"/>
          <w:sz w:val="24"/>
          <w:highlight w:val="none"/>
        </w:rPr>
      </w:pPr>
    </w:p>
    <w:p>
      <w:pPr>
        <w:spacing w:line="360" w:lineRule="auto"/>
        <w:ind w:firstLine="426" w:firstLineChars="177"/>
        <w:rPr>
          <w:rFonts w:ascii="仿宋" w:hAnsi="仿宋" w:eastAsia="仿宋" w:cs="仿宋"/>
          <w:b/>
          <w:sz w:val="24"/>
          <w:szCs w:val="24"/>
          <w:highlight w:val="none"/>
        </w:rPr>
      </w:pPr>
      <w:r>
        <w:rPr>
          <w:rFonts w:hint="eastAsia" w:ascii="仿宋" w:hAnsi="仿宋" w:eastAsia="仿宋" w:cs="仿宋"/>
          <w:b/>
          <w:sz w:val="24"/>
          <w:szCs w:val="24"/>
          <w:highlight w:val="none"/>
        </w:rPr>
        <w:t>4.服务要求：</w:t>
      </w:r>
    </w:p>
    <w:p>
      <w:pPr>
        <w:spacing w:line="360" w:lineRule="auto"/>
        <w:ind w:firstLine="424" w:firstLineChars="177"/>
        <w:rPr>
          <w:rFonts w:ascii="仿宋" w:hAnsi="仿宋" w:eastAsia="仿宋" w:cs="仿宋"/>
          <w:sz w:val="24"/>
          <w:szCs w:val="24"/>
          <w:highlight w:val="none"/>
        </w:rPr>
      </w:pPr>
      <w:r>
        <w:rPr>
          <w:rFonts w:hint="eastAsia" w:ascii="仿宋" w:hAnsi="仿宋" w:eastAsia="仿宋" w:cs="仿宋"/>
          <w:sz w:val="24"/>
          <w:szCs w:val="24"/>
          <w:highlight w:val="none"/>
        </w:rPr>
        <w:t>（1）符合法律、行政法规及部门规章；</w:t>
      </w:r>
    </w:p>
    <w:p>
      <w:pPr>
        <w:spacing w:line="360" w:lineRule="auto"/>
        <w:ind w:firstLine="424" w:firstLineChars="177"/>
        <w:rPr>
          <w:rFonts w:ascii="仿宋" w:hAnsi="仿宋" w:eastAsia="仿宋" w:cs="仿宋"/>
          <w:sz w:val="24"/>
          <w:szCs w:val="24"/>
          <w:highlight w:val="none"/>
        </w:rPr>
      </w:pPr>
      <w:r>
        <w:rPr>
          <w:rFonts w:hint="eastAsia" w:ascii="仿宋" w:hAnsi="仿宋" w:eastAsia="仿宋" w:cs="仿宋"/>
          <w:sz w:val="24"/>
          <w:szCs w:val="24"/>
          <w:highlight w:val="none"/>
        </w:rPr>
        <w:t>（2）符合本工程有关的规范、标准、规程。</w:t>
      </w:r>
    </w:p>
    <w:p>
      <w:pPr>
        <w:spacing w:line="360" w:lineRule="auto"/>
        <w:ind w:firstLine="424" w:firstLineChars="177"/>
        <w:rPr>
          <w:rFonts w:ascii="仿宋" w:hAnsi="仿宋" w:eastAsia="仿宋" w:cs="仿宋"/>
          <w:sz w:val="24"/>
          <w:highlight w:val="none"/>
        </w:rPr>
      </w:pPr>
      <w:r>
        <w:rPr>
          <w:rFonts w:hint="eastAsia" w:ascii="仿宋" w:hAnsi="仿宋" w:eastAsia="仿宋" w:cs="仿宋"/>
          <w:sz w:val="24"/>
          <w:szCs w:val="24"/>
          <w:highlight w:val="none"/>
        </w:rPr>
        <w:t>（3）按照《中华人民共和国建筑法》、《建设工程质量检测管理办法》中华人民共和国行业标准及其它相关等规范进行检测和判定，出具完整检测报告。检测报告应经检测人员签字、检测机构法定代表人或者其授权的签字人签署，并加盖检测机构公章或者检测专用章。</w:t>
      </w:r>
    </w:p>
    <w:p>
      <w:pPr>
        <w:spacing w:line="360" w:lineRule="auto"/>
        <w:ind w:firstLine="426" w:firstLineChars="177"/>
        <w:rPr>
          <w:rFonts w:ascii="仿宋" w:hAnsi="仿宋" w:eastAsia="仿宋" w:cs="仿宋"/>
          <w:b/>
          <w:sz w:val="24"/>
          <w:szCs w:val="24"/>
          <w:highlight w:val="none"/>
        </w:rPr>
      </w:pPr>
      <w:bookmarkStart w:id="6" w:name="_Toc24882"/>
      <w:bookmarkStart w:id="7" w:name="_Toc9843"/>
      <w:bookmarkStart w:id="8" w:name="_Toc511557119"/>
      <w:r>
        <w:rPr>
          <w:rFonts w:hint="eastAsia" w:ascii="仿宋" w:hAnsi="仿宋" w:eastAsia="仿宋" w:cs="仿宋"/>
          <w:b/>
          <w:sz w:val="24"/>
          <w:szCs w:val="24"/>
          <w:highlight w:val="none"/>
        </w:rPr>
        <w:t>5.其他要求</w:t>
      </w:r>
      <w:bookmarkEnd w:id="6"/>
      <w:bookmarkEnd w:id="7"/>
      <w:bookmarkEnd w:id="8"/>
      <w:r>
        <w:rPr>
          <w:rFonts w:hint="eastAsia" w:ascii="仿宋" w:hAnsi="仿宋" w:eastAsia="仿宋" w:cs="仿宋"/>
          <w:b/>
          <w:sz w:val="24"/>
          <w:szCs w:val="24"/>
          <w:highlight w:val="none"/>
        </w:rPr>
        <w:t>：</w:t>
      </w:r>
    </w:p>
    <w:p>
      <w:pPr>
        <w:pStyle w:val="43"/>
        <w:spacing w:line="360" w:lineRule="auto"/>
        <w:ind w:left="0" w:leftChars="0" w:firstLine="480"/>
        <w:rPr>
          <w:rFonts w:ascii="仿宋" w:hAnsi="仿宋" w:eastAsia="仿宋" w:cs="仿宋"/>
          <w:sz w:val="24"/>
          <w:highlight w:val="none"/>
        </w:rPr>
      </w:pPr>
      <w:r>
        <w:rPr>
          <w:rFonts w:hint="eastAsia" w:ascii="仿宋" w:hAnsi="仿宋" w:eastAsia="仿宋" w:cs="仿宋"/>
          <w:sz w:val="24"/>
          <w:highlight w:val="none"/>
        </w:rPr>
        <w:t>1.本项目实施期间，如果因本项目施工质量抽查监督及验收需要，按规范和经批准的检测方案，经招标人确认需增加检测项目，且投标人也具备相应资质，则投标人不得以任何原因拒绝为招标人提供检测，并按要求出具符合验收要求的检测报告。投标人检测资质不能涵盖的项目报招标人批准后，由投标人委托具有相应资质的第三方实施，投标人应对该第三方出具的结果负责，并取得相应管理部门的确认。</w:t>
      </w:r>
    </w:p>
    <w:p>
      <w:pPr>
        <w:pStyle w:val="43"/>
        <w:spacing w:line="360" w:lineRule="auto"/>
        <w:ind w:left="0" w:leftChars="0" w:firstLine="480"/>
        <w:rPr>
          <w:rFonts w:ascii="仿宋" w:hAnsi="仿宋" w:eastAsia="仿宋" w:cs="仿宋"/>
          <w:sz w:val="24"/>
          <w:highlight w:val="none"/>
        </w:rPr>
      </w:pPr>
      <w:r>
        <w:rPr>
          <w:rFonts w:hint="eastAsia" w:ascii="仿宋" w:hAnsi="仿宋" w:eastAsia="仿宋" w:cs="仿宋"/>
          <w:sz w:val="24"/>
          <w:highlight w:val="none"/>
        </w:rPr>
        <w:t>2.检测方案及工作量：在施工过程中，检测服务单位依据施工图及相关检测验收规范，编制检测方案和工程量清单，以满足施工质量抽查监督、各单项竣工验收、竣工验收备案及区质检站等政府职能部门要求为前提，合理编制，不可擅自虚增检测项目和工作量，否则不予结算。检测方案需报施工单位、监理单位、设计单位、勘察单位、代建单位（如有）和建设业主审核确认后方可实施，检测项目及工作量按实结算。</w:t>
      </w:r>
    </w:p>
    <w:p>
      <w:pPr>
        <w:pStyle w:val="4"/>
        <w:numPr>
          <w:ilvl w:val="0"/>
          <w:numId w:val="0"/>
        </w:numPr>
        <w:tabs>
          <w:tab w:val="clear" w:pos="576"/>
        </w:tabs>
        <w:spacing w:line="640" w:lineRule="exact"/>
        <w:outlineLvl w:val="0"/>
        <w:rPr>
          <w:rFonts w:ascii="仿宋" w:hAnsi="仿宋" w:eastAsia="仿宋" w:cs="仿宋"/>
          <w:b/>
          <w:highlight w:val="none"/>
        </w:rPr>
      </w:pPr>
      <w:bookmarkStart w:id="9" w:name="_Toc10627390"/>
      <w:bookmarkStart w:id="10" w:name="_Toc14219"/>
      <w:r>
        <w:rPr>
          <w:rFonts w:hint="eastAsia" w:ascii="仿宋" w:hAnsi="仿宋" w:eastAsia="仿宋" w:cs="仿宋"/>
          <w:b/>
          <w:highlight w:val="none"/>
        </w:rPr>
        <w:t>三、服务期限</w:t>
      </w:r>
      <w:bookmarkEnd w:id="9"/>
      <w:bookmarkEnd w:id="10"/>
    </w:p>
    <w:p>
      <w:pPr>
        <w:spacing w:line="560" w:lineRule="exact"/>
        <w:ind w:firstLine="475" w:firstLineChars="198"/>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本合同约定的建设工程质量检测服务期</w:t>
      </w:r>
      <w:r>
        <w:rPr>
          <w:rFonts w:hint="eastAsia" w:ascii="仿宋" w:hAnsi="仿宋" w:eastAsia="仿宋" w:cs="仿宋"/>
          <w:sz w:val="24"/>
          <w:szCs w:val="24"/>
          <w:highlight w:val="none"/>
          <w:u w:val="single"/>
        </w:rPr>
        <w:t>自乙方进场至完成所有</w:t>
      </w:r>
      <w:r>
        <w:rPr>
          <w:rFonts w:hint="eastAsia" w:ascii="仿宋" w:hAnsi="仿宋" w:eastAsia="仿宋" w:cs="仿宋"/>
          <w:sz w:val="24"/>
          <w:szCs w:val="24"/>
          <w:highlight w:val="none"/>
          <w:u w:val="single"/>
          <w:lang w:val="en-US" w:eastAsia="zh-CN"/>
        </w:rPr>
        <w:t>检测</w:t>
      </w:r>
      <w:r>
        <w:rPr>
          <w:rFonts w:hint="eastAsia" w:ascii="仿宋" w:hAnsi="仿宋" w:eastAsia="仿宋" w:cs="仿宋"/>
          <w:sz w:val="24"/>
          <w:szCs w:val="24"/>
          <w:highlight w:val="none"/>
          <w:u w:val="single"/>
        </w:rPr>
        <w:t>项目且技术成果通过审批，服务周期必须满足实际施工及验收要求，且甲方有权根据工程实际需要调整工期及验收时间，乙方需配合甲方的调整作出相应的执行计划。</w:t>
      </w:r>
    </w:p>
    <w:p>
      <w:pPr>
        <w:spacing w:line="560" w:lineRule="exact"/>
        <w:ind w:firstLine="475" w:firstLineChars="198"/>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本项目服务期暂定</w:t>
      </w:r>
      <w:r>
        <w:rPr>
          <w:rFonts w:hint="eastAsia" w:ascii="仿宋" w:hAnsi="仿宋" w:eastAsia="仿宋" w:cs="仿宋"/>
          <w:sz w:val="24"/>
          <w:szCs w:val="24"/>
          <w:highlight w:val="none"/>
          <w:u w:val="single"/>
        </w:rPr>
        <w:t>两</w:t>
      </w:r>
      <w:r>
        <w:rPr>
          <w:rFonts w:hint="eastAsia" w:ascii="仿宋" w:hAnsi="仿宋" w:eastAsia="仿宋" w:cs="仿宋"/>
          <w:sz w:val="24"/>
          <w:szCs w:val="24"/>
          <w:highlight w:val="none"/>
        </w:rPr>
        <w:t>年。</w:t>
      </w:r>
    </w:p>
    <w:p>
      <w:pPr>
        <w:pStyle w:val="4"/>
        <w:numPr>
          <w:ilvl w:val="0"/>
          <w:numId w:val="0"/>
        </w:numPr>
        <w:tabs>
          <w:tab w:val="clear" w:pos="576"/>
        </w:tabs>
        <w:spacing w:line="640" w:lineRule="exact"/>
        <w:outlineLvl w:val="0"/>
        <w:rPr>
          <w:rFonts w:ascii="仿宋" w:hAnsi="仿宋" w:eastAsia="仿宋" w:cs="仿宋"/>
          <w:b/>
          <w:highlight w:val="none"/>
        </w:rPr>
      </w:pPr>
      <w:bookmarkStart w:id="11" w:name="_Toc13363"/>
      <w:bookmarkStart w:id="12" w:name="_Toc10627391"/>
      <w:r>
        <w:rPr>
          <w:rFonts w:hint="eastAsia" w:ascii="仿宋" w:hAnsi="仿宋" w:eastAsia="仿宋" w:cs="仿宋"/>
          <w:b/>
          <w:highlight w:val="none"/>
        </w:rPr>
        <w:t>四、检测费用及计算方式</w:t>
      </w:r>
      <w:bookmarkEnd w:id="11"/>
      <w:bookmarkEnd w:id="12"/>
    </w:p>
    <w:p>
      <w:pPr>
        <w:spacing w:line="500" w:lineRule="exact"/>
        <w:ind w:firstLine="480" w:firstLineChars="200"/>
        <w:rPr>
          <w:rFonts w:ascii="仿宋" w:hAnsi="仿宋" w:eastAsia="仿宋" w:cs="仿宋"/>
          <w:sz w:val="24"/>
          <w:szCs w:val="22"/>
          <w:highlight w:val="none"/>
        </w:rPr>
      </w:pPr>
      <w:r>
        <w:rPr>
          <w:rFonts w:hint="eastAsia" w:ascii="仿宋" w:hAnsi="仿宋" w:eastAsia="仿宋" w:cs="仿宋"/>
          <w:sz w:val="24"/>
          <w:szCs w:val="24"/>
          <w:highlight w:val="none"/>
        </w:rPr>
        <w:t>暂定合同含税总价：</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元（人民币大写：</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2"/>
          <w:highlight w:val="none"/>
        </w:rPr>
        <w:t>其中暂定不含税总价为</w:t>
      </w:r>
      <w:r>
        <w:rPr>
          <w:rFonts w:hint="eastAsia" w:ascii="仿宋" w:hAnsi="仿宋" w:eastAsia="仿宋" w:cs="仿宋"/>
          <w:sz w:val="24"/>
          <w:szCs w:val="22"/>
          <w:highlight w:val="none"/>
          <w:u w:val="single"/>
        </w:rPr>
        <w:t>¥</w:t>
      </w:r>
      <w:r>
        <w:rPr>
          <w:rFonts w:hint="eastAsia" w:ascii="仿宋" w:hAnsi="仿宋" w:eastAsia="仿宋" w:cs="仿宋"/>
          <w:sz w:val="24"/>
          <w:szCs w:val="22"/>
          <w:highlight w:val="none"/>
          <w:u w:val="single"/>
          <w:lang w:val="en-US" w:eastAsia="zh-CN"/>
        </w:rPr>
        <w:t xml:space="preserve">      </w:t>
      </w:r>
      <w:r>
        <w:rPr>
          <w:rFonts w:hint="eastAsia" w:ascii="仿宋" w:hAnsi="仿宋" w:eastAsia="仿宋" w:cs="仿宋"/>
          <w:sz w:val="24"/>
          <w:szCs w:val="22"/>
          <w:highlight w:val="none"/>
          <w:u w:val="single"/>
        </w:rPr>
        <w:t>元</w:t>
      </w:r>
      <w:r>
        <w:rPr>
          <w:rFonts w:hint="eastAsia" w:ascii="仿宋" w:hAnsi="仿宋" w:eastAsia="仿宋" w:cs="仿宋"/>
          <w:sz w:val="24"/>
          <w:szCs w:val="22"/>
          <w:highlight w:val="none"/>
        </w:rPr>
        <w:t>（大写：人民币大写：</w:t>
      </w:r>
      <w:r>
        <w:rPr>
          <w:rFonts w:hint="eastAsia" w:ascii="仿宋" w:hAnsi="仿宋" w:eastAsia="仿宋" w:cs="仿宋"/>
          <w:sz w:val="24"/>
          <w:szCs w:val="22"/>
          <w:highlight w:val="none"/>
          <w:lang w:val="en-US" w:eastAsia="zh-CN"/>
        </w:rPr>
        <w:t xml:space="preserve">      </w:t>
      </w:r>
      <w:r>
        <w:rPr>
          <w:rFonts w:hint="eastAsia" w:ascii="仿宋" w:hAnsi="仿宋" w:eastAsia="仿宋" w:cs="仿宋"/>
          <w:sz w:val="24"/>
          <w:szCs w:val="22"/>
          <w:highlight w:val="none"/>
        </w:rPr>
        <w:t>），税金</w:t>
      </w:r>
      <w:r>
        <w:rPr>
          <w:rFonts w:hint="eastAsia" w:ascii="仿宋" w:hAnsi="仿宋" w:eastAsia="仿宋" w:cs="仿宋"/>
          <w:sz w:val="24"/>
          <w:szCs w:val="22"/>
          <w:highlight w:val="none"/>
          <w:u w:val="single"/>
        </w:rPr>
        <w:t>¥</w:t>
      </w:r>
      <w:r>
        <w:rPr>
          <w:rFonts w:hint="eastAsia" w:ascii="仿宋" w:hAnsi="仿宋" w:eastAsia="仿宋" w:cs="仿宋"/>
          <w:sz w:val="24"/>
          <w:szCs w:val="22"/>
          <w:highlight w:val="none"/>
          <w:u w:val="single"/>
          <w:lang w:val="en-US" w:eastAsia="zh-CN"/>
        </w:rPr>
        <w:t xml:space="preserve">     </w:t>
      </w:r>
      <w:r>
        <w:rPr>
          <w:rFonts w:hint="eastAsia" w:ascii="仿宋" w:hAnsi="仿宋" w:eastAsia="仿宋" w:cs="仿宋"/>
          <w:sz w:val="24"/>
          <w:szCs w:val="22"/>
          <w:highlight w:val="none"/>
          <w:u w:val="single"/>
        </w:rPr>
        <w:t>元</w:t>
      </w:r>
      <w:r>
        <w:rPr>
          <w:rFonts w:hint="eastAsia" w:ascii="仿宋" w:hAnsi="仿宋" w:eastAsia="仿宋" w:cs="仿宋"/>
          <w:sz w:val="24"/>
          <w:szCs w:val="22"/>
          <w:highlight w:val="none"/>
        </w:rPr>
        <w:t>（大写：人民币大写：</w:t>
      </w:r>
      <w:r>
        <w:rPr>
          <w:rFonts w:hint="eastAsia" w:ascii="仿宋" w:hAnsi="仿宋" w:eastAsia="仿宋" w:cs="仿宋"/>
          <w:sz w:val="24"/>
          <w:szCs w:val="22"/>
          <w:highlight w:val="none"/>
          <w:lang w:val="en-US" w:eastAsia="zh-CN"/>
        </w:rPr>
        <w:t xml:space="preserve">      </w:t>
      </w:r>
      <w:r>
        <w:rPr>
          <w:rFonts w:hint="eastAsia" w:ascii="仿宋" w:hAnsi="仿宋" w:eastAsia="仿宋" w:cs="仿宋"/>
          <w:sz w:val="24"/>
          <w:szCs w:val="22"/>
          <w:highlight w:val="none"/>
        </w:rPr>
        <w:t>）， 税率6%。</w:t>
      </w:r>
    </w:p>
    <w:p>
      <w:pPr>
        <w:adjustRightInd w:val="0"/>
        <w:snapToGrid w:val="0"/>
        <w:spacing w:beforeLines="50"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计算方式：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综合单价包干； □总价包干；□其它：</w:t>
      </w:r>
    </w:p>
    <w:p>
      <w:pPr>
        <w:adjustRightInd w:val="0"/>
        <w:snapToGrid w:val="0"/>
        <w:spacing w:beforeLines="50"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具体计算方式内容及检测费用清单详见专用条款、附件。</w:t>
      </w:r>
    </w:p>
    <w:p>
      <w:pPr>
        <w:pStyle w:val="4"/>
        <w:numPr>
          <w:ilvl w:val="0"/>
          <w:numId w:val="0"/>
        </w:numPr>
        <w:tabs>
          <w:tab w:val="clear" w:pos="576"/>
        </w:tabs>
        <w:spacing w:line="640" w:lineRule="exact"/>
        <w:outlineLvl w:val="0"/>
        <w:rPr>
          <w:rFonts w:ascii="仿宋" w:hAnsi="仿宋" w:eastAsia="仿宋" w:cs="仿宋"/>
          <w:b/>
          <w:highlight w:val="none"/>
        </w:rPr>
      </w:pPr>
      <w:bookmarkStart w:id="13" w:name="_Toc26831"/>
      <w:bookmarkStart w:id="14" w:name="_Toc10627392"/>
      <w:r>
        <w:rPr>
          <w:rFonts w:hint="eastAsia" w:ascii="仿宋" w:hAnsi="仿宋" w:eastAsia="仿宋" w:cs="仿宋"/>
          <w:b/>
          <w:highlight w:val="none"/>
        </w:rPr>
        <w:t>五、合同文件的构成</w:t>
      </w:r>
      <w:bookmarkEnd w:id="13"/>
      <w:bookmarkEnd w:id="14"/>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下列文件应被认为是组成本合同的一部分，并互为补充和解释，如各文件存在冲突之处，以如下排列次序在前者优先适用：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（1）本合同履行期间发包人与承包人签订的补充合同（协议）或修正文件；</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（2）合同协议书；</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（3）中标通知书；</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w:t>
      </w:r>
      <w:r>
        <w:rPr>
          <w:rFonts w:hint="eastAsia" w:ascii="仿宋" w:hAnsi="仿宋" w:eastAsia="仿宋" w:cs="仿宋"/>
          <w:i w:val="0"/>
          <w:iCs w:val="0"/>
          <w:color w:val="auto"/>
          <w:sz w:val="24"/>
          <w:szCs w:val="24"/>
          <w:highlight w:val="none"/>
          <w:lang w:val="en-US" w:eastAsia="zh-CN"/>
        </w:rPr>
        <w:t>专用</w:t>
      </w:r>
      <w:r>
        <w:rPr>
          <w:rFonts w:hint="eastAsia" w:ascii="仿宋" w:hAnsi="仿宋" w:eastAsia="仿宋" w:cs="仿宋"/>
          <w:i w:val="0"/>
          <w:iCs w:val="0"/>
          <w:color w:val="auto"/>
          <w:sz w:val="24"/>
          <w:szCs w:val="24"/>
          <w:highlight w:val="none"/>
        </w:rPr>
        <w:t>条款；</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通用</w:t>
      </w:r>
      <w:r>
        <w:rPr>
          <w:rFonts w:hint="eastAsia" w:ascii="仿宋" w:hAnsi="仿宋" w:eastAsia="仿宋" w:cs="仿宋"/>
          <w:i w:val="0"/>
          <w:iCs w:val="0"/>
          <w:color w:val="auto"/>
          <w:sz w:val="24"/>
          <w:szCs w:val="24"/>
          <w:highlight w:val="none"/>
        </w:rPr>
        <w:t>条款；</w:t>
      </w:r>
    </w:p>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）本合同生效期间，发包人制定并执行的有关工程项目建设管理规定及管理办法，与原合同及补充协议无实质性冲突的，均属本合同组成文件，适用于本合同项下工程；</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7</w:t>
      </w:r>
      <w:r>
        <w:rPr>
          <w:rFonts w:hint="eastAsia" w:ascii="仿宋" w:hAnsi="仿宋" w:eastAsia="仿宋" w:cs="仿宋"/>
          <w:i w:val="0"/>
          <w:iCs w:val="0"/>
          <w:color w:val="auto"/>
          <w:sz w:val="24"/>
          <w:szCs w:val="24"/>
          <w:highlight w:val="none"/>
        </w:rPr>
        <w:t>）合同附件；</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8</w:t>
      </w:r>
      <w:r>
        <w:rPr>
          <w:rFonts w:hint="eastAsia" w:ascii="仿宋" w:hAnsi="仿宋" w:eastAsia="仿宋" w:cs="仿宋"/>
          <w:i w:val="0"/>
          <w:iCs w:val="0"/>
          <w:color w:val="auto"/>
          <w:sz w:val="24"/>
          <w:szCs w:val="24"/>
          <w:highlight w:val="none"/>
        </w:rPr>
        <w:t>）招标文件[含招标文件补充文件、澄清文件、答疑文件、招标图等，属本条第（6）项内容的除外]；</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9</w:t>
      </w:r>
      <w:r>
        <w:rPr>
          <w:rFonts w:hint="eastAsia" w:ascii="仿宋" w:hAnsi="仿宋" w:eastAsia="仿宋" w:cs="仿宋"/>
          <w:i w:val="0"/>
          <w:iCs w:val="0"/>
          <w:color w:val="auto"/>
          <w:sz w:val="24"/>
          <w:szCs w:val="24"/>
          <w:highlight w:val="none"/>
        </w:rPr>
        <w:t>）承包人投标文件及其附件[含投标文件澄清等，属本条第（6）项内容的除外]；</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10</w:t>
      </w:r>
      <w:r>
        <w:rPr>
          <w:rFonts w:hint="eastAsia" w:ascii="仿宋" w:hAnsi="仿宋" w:eastAsia="仿宋" w:cs="仿宋"/>
          <w:i w:val="0"/>
          <w:iCs w:val="0"/>
          <w:color w:val="auto"/>
          <w:sz w:val="24"/>
          <w:szCs w:val="24"/>
          <w:highlight w:val="none"/>
        </w:rPr>
        <w:t>）国家及广东省、广州市的标准、规范及有关技术文件；</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）双方确认的施工图纸；</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）组成合同的其它文件：经双方确认进入合同的其他文件。</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承包人仍存在异议的，可按合同</w:t>
      </w:r>
      <w:r>
        <w:rPr>
          <w:rFonts w:hint="eastAsia" w:ascii="仿宋" w:hAnsi="仿宋" w:eastAsia="仿宋" w:cs="仿宋"/>
          <w:i w:val="0"/>
          <w:iCs w:val="0"/>
          <w:color w:val="auto"/>
          <w:sz w:val="24"/>
          <w:szCs w:val="24"/>
          <w:highlight w:val="none"/>
          <w:lang w:val="en-US" w:eastAsia="zh-CN"/>
        </w:rPr>
        <w:t>专用条款争议解决条款</w:t>
      </w:r>
      <w:r>
        <w:rPr>
          <w:rFonts w:hint="eastAsia" w:ascii="仿宋" w:hAnsi="仿宋" w:eastAsia="仿宋" w:cs="仿宋"/>
          <w:i w:val="0"/>
          <w:iCs w:val="0"/>
          <w:color w:val="auto"/>
          <w:sz w:val="24"/>
          <w:szCs w:val="24"/>
          <w:highlight w:val="none"/>
        </w:rPr>
        <w:t>的约定处理，但在有关部门没有作出正式裁决之前，承包人必须无条件先行执行发包人的决定。</w:t>
      </w:r>
    </w:p>
    <w:p>
      <w:pPr>
        <w:pStyle w:val="4"/>
        <w:numPr>
          <w:ilvl w:val="0"/>
          <w:numId w:val="0"/>
        </w:numPr>
        <w:tabs>
          <w:tab w:val="clear" w:pos="576"/>
        </w:tabs>
        <w:spacing w:line="640" w:lineRule="exact"/>
        <w:outlineLvl w:val="0"/>
        <w:rPr>
          <w:rFonts w:ascii="仿宋" w:hAnsi="仿宋" w:eastAsia="仿宋" w:cs="仿宋"/>
          <w:b/>
          <w:highlight w:val="none"/>
        </w:rPr>
      </w:pPr>
      <w:bookmarkStart w:id="15" w:name="_Toc23023"/>
      <w:bookmarkStart w:id="16" w:name="_Toc10627393"/>
      <w:r>
        <w:rPr>
          <w:rFonts w:hint="eastAsia" w:ascii="仿宋" w:hAnsi="仿宋" w:eastAsia="仿宋" w:cs="仿宋"/>
          <w:b/>
          <w:highlight w:val="none"/>
        </w:rPr>
        <w:t>六、词语定义</w:t>
      </w:r>
      <w:bookmarkEnd w:id="15"/>
      <w:bookmarkEnd w:id="16"/>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本协议书中相关词语的含义与本合同第二部分《通用条款》第1条赋予它们的定义相同。</w:t>
      </w:r>
    </w:p>
    <w:p>
      <w:pPr>
        <w:pStyle w:val="4"/>
        <w:numPr>
          <w:ilvl w:val="0"/>
          <w:numId w:val="0"/>
        </w:numPr>
        <w:tabs>
          <w:tab w:val="clear" w:pos="576"/>
        </w:tabs>
        <w:spacing w:line="640" w:lineRule="exact"/>
        <w:outlineLvl w:val="0"/>
        <w:rPr>
          <w:rFonts w:ascii="仿宋" w:hAnsi="仿宋" w:eastAsia="仿宋" w:cs="仿宋"/>
          <w:b/>
          <w:highlight w:val="none"/>
        </w:rPr>
      </w:pPr>
      <w:bookmarkStart w:id="17" w:name="_Toc28068"/>
      <w:bookmarkStart w:id="18" w:name="_Toc10627394"/>
      <w:r>
        <w:rPr>
          <w:rFonts w:hint="eastAsia" w:ascii="仿宋" w:hAnsi="仿宋" w:eastAsia="仿宋" w:cs="仿宋"/>
          <w:b/>
          <w:highlight w:val="none"/>
        </w:rPr>
        <w:t>七、合同生效</w:t>
      </w:r>
      <w:bookmarkEnd w:id="17"/>
      <w:bookmarkEnd w:id="18"/>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本合同订立时间：</w:t>
      </w:r>
      <w:r>
        <w:rPr>
          <w:rFonts w:hint="eastAsia" w:ascii="仿宋" w:hAnsi="仿宋" w:eastAsia="仿宋" w:cs="仿宋"/>
          <w:sz w:val="24"/>
          <w:szCs w:val="24"/>
          <w:highlight w:val="none"/>
          <w:u w:val="single"/>
        </w:rPr>
        <w:t>2023</w:t>
      </w:r>
      <w:r>
        <w:rPr>
          <w:rFonts w:hint="eastAsia" w:ascii="仿宋" w:hAnsi="仿宋" w:eastAsia="仿宋" w:cs="仿宋"/>
          <w:sz w:val="24"/>
          <w:szCs w:val="24"/>
          <w:highlight w:val="none"/>
        </w:rPr>
        <w:t>年 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pPr>
        <w:spacing w:line="640" w:lineRule="exact"/>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本合同订立地点：</w:t>
      </w:r>
      <w:r>
        <w:rPr>
          <w:rFonts w:hint="eastAsia" w:ascii="仿宋" w:hAnsi="仿宋" w:eastAsia="仿宋" w:cs="仿宋"/>
          <w:sz w:val="24"/>
          <w:szCs w:val="24"/>
          <w:highlight w:val="none"/>
          <w:u w:val="single"/>
        </w:rPr>
        <w:t>广州市</w:t>
      </w:r>
      <w:r>
        <w:rPr>
          <w:rFonts w:hint="eastAsia" w:ascii="仿宋" w:hAnsi="仿宋" w:eastAsia="仿宋" w:cs="仿宋"/>
          <w:sz w:val="24"/>
          <w:szCs w:val="24"/>
          <w:highlight w:val="none"/>
          <w:u w:val="single"/>
          <w:lang w:val="en-US" w:eastAsia="zh-CN"/>
        </w:rPr>
        <w:t>花都区</w:t>
      </w:r>
    </w:p>
    <w:p>
      <w:pPr>
        <w:spacing w:line="6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合同双方当事人约定本合同自双方签字、盖章后生效。</w:t>
      </w:r>
    </w:p>
    <w:p>
      <w:pPr>
        <w:pStyle w:val="4"/>
        <w:numPr>
          <w:ilvl w:val="0"/>
          <w:numId w:val="0"/>
        </w:numPr>
        <w:tabs>
          <w:tab w:val="clear" w:pos="576"/>
        </w:tabs>
        <w:spacing w:line="640" w:lineRule="exact"/>
        <w:outlineLvl w:val="0"/>
        <w:rPr>
          <w:rFonts w:ascii="仿宋" w:hAnsi="仿宋" w:eastAsia="仿宋" w:cs="仿宋"/>
          <w:b/>
          <w:highlight w:val="none"/>
        </w:rPr>
      </w:pPr>
      <w:bookmarkStart w:id="19" w:name="_Toc10627395"/>
      <w:bookmarkStart w:id="20" w:name="_Toc377"/>
      <w:r>
        <w:rPr>
          <w:rFonts w:hint="eastAsia" w:ascii="仿宋" w:hAnsi="仿宋" w:eastAsia="仿宋" w:cs="仿宋"/>
          <w:b/>
          <w:highlight w:val="none"/>
        </w:rPr>
        <w:t>八、合同份数</w:t>
      </w:r>
      <w:bookmarkEnd w:id="19"/>
      <w:bookmarkEnd w:id="20"/>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份，具有同等法律效力，其中甲方执</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份。</w:t>
      </w:r>
    </w:p>
    <w:p>
      <w:pPr>
        <w:spacing w:line="360" w:lineRule="auto"/>
        <w:rPr>
          <w:rFonts w:ascii="仿宋" w:hAnsi="仿宋" w:eastAsia="仿宋" w:cs="仿宋"/>
          <w:sz w:val="24"/>
          <w:highlight w:val="none"/>
        </w:rPr>
      </w:pPr>
    </w:p>
    <w:p>
      <w:pPr>
        <w:spacing w:line="640" w:lineRule="exact"/>
        <w:rPr>
          <w:rFonts w:ascii="仿宋" w:hAnsi="仿宋" w:eastAsia="仿宋" w:cs="仿宋"/>
          <w:sz w:val="24"/>
          <w:highlight w:val="none"/>
        </w:rPr>
      </w:pPr>
    </w:p>
    <w:p>
      <w:pPr>
        <w:spacing w:line="640" w:lineRule="exact"/>
        <w:rPr>
          <w:rFonts w:ascii="仿宋" w:hAnsi="仿宋" w:eastAsia="仿宋" w:cs="仿宋"/>
          <w:sz w:val="24"/>
          <w:szCs w:val="24"/>
          <w:highlight w:val="none"/>
        </w:rPr>
      </w:pPr>
    </w:p>
    <w:p>
      <w:pPr>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委托单位：（盖章）                      检测单位：（盖章）</w:t>
      </w:r>
    </w:p>
    <w:p>
      <w:pPr>
        <w:spacing w:line="640" w:lineRule="exact"/>
        <w:jc w:val="both"/>
        <w:rPr>
          <w:rFonts w:ascii="仿宋" w:hAnsi="仿宋" w:eastAsia="仿宋" w:cs="仿宋"/>
          <w:sz w:val="24"/>
          <w:szCs w:val="24"/>
          <w:highlight w:val="none"/>
        </w:rPr>
      </w:pPr>
      <w:r>
        <w:rPr>
          <w:rFonts w:hint="eastAsia" w:ascii="仿宋" w:hAnsi="仿宋" w:eastAsia="仿宋" w:cs="仿宋"/>
          <w:sz w:val="24"/>
          <w:szCs w:val="24"/>
          <w:highlight w:val="none"/>
        </w:rPr>
        <w:t>地      址：                            地      址：</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                            法定代表人：</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委托代理人：                            委托代理人：</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电    话：                              电    话：</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传    真：                              传    真：</w:t>
      </w:r>
    </w:p>
    <w:p>
      <w:pPr>
        <w:tabs>
          <w:tab w:val="left" w:pos="525"/>
          <w:tab w:val="left" w:pos="1155"/>
        </w:tabs>
        <w:spacing w:line="640" w:lineRule="exact"/>
        <w:jc w:val="both"/>
        <w:rPr>
          <w:rFonts w:ascii="仿宋" w:hAnsi="仿宋" w:eastAsia="仿宋" w:cs="仿宋"/>
          <w:sz w:val="24"/>
          <w:szCs w:val="24"/>
          <w:highlight w:val="none"/>
        </w:rPr>
      </w:pPr>
      <w:r>
        <w:rPr>
          <w:rFonts w:hint="eastAsia" w:ascii="仿宋" w:hAnsi="仿宋" w:eastAsia="仿宋" w:cs="仿宋"/>
          <w:sz w:val="24"/>
          <w:szCs w:val="24"/>
          <w:highlight w:val="none"/>
        </w:rPr>
        <w:t>开户银行：                              开户银行：</w:t>
      </w:r>
    </w:p>
    <w:p>
      <w:pPr>
        <w:tabs>
          <w:tab w:val="left" w:pos="525"/>
          <w:tab w:val="left" w:pos="1155"/>
          <w:tab w:val="left" w:pos="6090"/>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账    号：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账    号：</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邮政编码：                              邮政编码：</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电子邮箱：                              电子邮箱：</w:t>
      </w:r>
    </w:p>
    <w:p>
      <w:pPr>
        <w:pStyle w:val="3"/>
        <w:ind w:left="0" w:leftChars="0" w:firstLine="2168" w:firstLineChars="600"/>
        <w:jc w:val="both"/>
        <w:rPr>
          <w:rFonts w:hint="eastAsia" w:ascii="仿宋" w:hAnsi="仿宋" w:eastAsia="仿宋" w:cs="仿宋"/>
          <w:b/>
          <w:bCs/>
          <w:sz w:val="36"/>
          <w:szCs w:val="36"/>
          <w:highlight w:val="none"/>
        </w:rPr>
      </w:pPr>
      <w:bookmarkStart w:id="21" w:name="_Toc10627396"/>
      <w:bookmarkStart w:id="22" w:name="_Toc3208"/>
    </w:p>
    <w:p>
      <w:pPr>
        <w:ind w:left="0" w:leftChars="0" w:firstLine="2168" w:firstLineChars="600"/>
        <w:jc w:val="both"/>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pStyle w:val="3"/>
        <w:ind w:left="0" w:leftChars="0" w:firstLine="2168" w:firstLineChars="600"/>
        <w:jc w:val="both"/>
        <w:rPr>
          <w:rFonts w:ascii="仿宋" w:hAnsi="仿宋" w:eastAsia="仿宋" w:cs="仿宋"/>
          <w:b/>
          <w:bCs/>
          <w:sz w:val="36"/>
          <w:szCs w:val="36"/>
          <w:highlight w:val="none"/>
        </w:rPr>
      </w:pPr>
      <w:r>
        <w:rPr>
          <w:rFonts w:hint="eastAsia" w:ascii="仿宋" w:hAnsi="仿宋" w:eastAsia="仿宋" w:cs="仿宋"/>
          <w:b/>
          <w:bCs/>
          <w:sz w:val="36"/>
          <w:szCs w:val="36"/>
          <w:highlight w:val="none"/>
        </w:rPr>
        <w:t>第二部分  通用条款</w:t>
      </w:r>
      <w:bookmarkEnd w:id="21"/>
      <w:bookmarkEnd w:id="22"/>
    </w:p>
    <w:p>
      <w:pPr>
        <w:rPr>
          <w:rFonts w:ascii="仿宋" w:hAnsi="仿宋" w:eastAsia="仿宋" w:cs="仿宋"/>
          <w:highlight w:val="none"/>
        </w:rPr>
      </w:pPr>
    </w:p>
    <w:p>
      <w:pPr>
        <w:pStyle w:val="5"/>
        <w:numPr>
          <w:ilvl w:val="0"/>
          <w:numId w:val="0"/>
        </w:numPr>
        <w:tabs>
          <w:tab w:val="clear" w:pos="1287"/>
        </w:tabs>
        <w:ind w:left="1150" w:hanging="720"/>
        <w:outlineLvl w:val="1"/>
        <w:rPr>
          <w:rFonts w:ascii="仿宋" w:hAnsi="仿宋" w:eastAsia="仿宋" w:cs="仿宋"/>
          <w:sz w:val="24"/>
          <w:szCs w:val="24"/>
          <w:highlight w:val="none"/>
        </w:rPr>
      </w:pPr>
      <w:bookmarkStart w:id="23" w:name="_Toc15715"/>
      <w:bookmarkStart w:id="24" w:name="_Toc10627397"/>
      <w:r>
        <w:rPr>
          <w:rFonts w:hint="eastAsia" w:ascii="仿宋" w:hAnsi="仿宋" w:eastAsia="仿宋" w:cs="仿宋"/>
          <w:sz w:val="24"/>
          <w:szCs w:val="24"/>
          <w:highlight w:val="none"/>
        </w:rPr>
        <w:t>1. 词语定义、语言、解释顺序与适用法律</w:t>
      </w:r>
      <w:bookmarkEnd w:id="23"/>
      <w:bookmarkEnd w:id="24"/>
    </w:p>
    <w:p>
      <w:pPr>
        <w:pStyle w:val="5"/>
        <w:numPr>
          <w:ilvl w:val="0"/>
          <w:numId w:val="0"/>
        </w:numPr>
        <w:tabs>
          <w:tab w:val="clear" w:pos="1287"/>
        </w:tabs>
        <w:ind w:left="720"/>
        <w:rPr>
          <w:rFonts w:ascii="仿宋" w:hAnsi="仿宋" w:eastAsia="仿宋" w:cs="仿宋"/>
          <w:sz w:val="24"/>
          <w:szCs w:val="24"/>
          <w:highlight w:val="none"/>
        </w:rPr>
      </w:pPr>
      <w:bookmarkStart w:id="25" w:name="_Toc10627398"/>
      <w:bookmarkStart w:id="26" w:name="_Toc940"/>
      <w:r>
        <w:rPr>
          <w:rFonts w:hint="eastAsia" w:ascii="仿宋" w:hAnsi="仿宋" w:eastAsia="仿宋" w:cs="仿宋"/>
          <w:sz w:val="24"/>
          <w:szCs w:val="24"/>
          <w:highlight w:val="none"/>
        </w:rPr>
        <w:t>1.1词语定义</w:t>
      </w:r>
      <w:bookmarkEnd w:id="25"/>
      <w:bookmarkEnd w:id="26"/>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组成本合同的全部文件中的下列名词和用语应具有本款所赋予的含义：</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1.1.1 “工程”是指按照本合同约定实施质量检测服务的建设工程。</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1.1.2 “工程质量检测”是指工程质量检测机构（以下简称检测机构）接受委托，依据国家有关法律、法规和工程建设强制性标准，对涉及结构安全项目的抽样检测和对进入施工现场的建筑材料、构配件的见证取样检测。</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1.1.3 “甲方”是指委托单位，即本合同中委托质量检测与其他服务的一方。 </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1.1.4 “乙方”是指检测单位，即本合同中提供工程质量检测与其他服务的一方。</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1.1.5 “正常工作”是指本合同订立时通用条款和专用条款中约定的乙方的工作。</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 “项目负责人”是指由甲方和乙方的法定代表人书面授权，在授权范围内负责履行本合同、主持项目检测工作的负责人。</w:t>
      </w:r>
    </w:p>
    <w:p>
      <w:pPr>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1.1.7“检测费用”是指乙方履行本合同义务，甲方按照本合同约定支付给乙方的金额。</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1.1.8“书面形式”是指合同书、信件和数据电文（包括电报、电传、传真、电子数据交换和电子邮件）等可以有形地表现所载内容的形式。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1.1.9 “天”是指第一天零时至第二天零时的时间。</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1.1.10“月”是指按公历从一个月中任何一天开始的一个公历月时间。</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1.1.11</w:t>
      </w:r>
      <w:r>
        <w:rPr>
          <w:rFonts w:hint="eastAsia" w:ascii="仿宋" w:hAnsi="仿宋" w:eastAsia="仿宋" w:cs="仿宋"/>
          <w:kern w:val="0"/>
          <w:sz w:val="24"/>
          <w:szCs w:val="24"/>
          <w:highlight w:val="none"/>
        </w:rPr>
        <w:t>不可抗力是指合同当事人在签订合同时不可预见，在合同履行过程中不可避免且不能克服的自然灾害和社会性突发事件，如地震、海啸、瘟疫、骚乱、戒严、暴动、战争</w:t>
      </w:r>
      <w:r>
        <w:rPr>
          <w:rFonts w:hint="eastAsia" w:ascii="仿宋" w:hAnsi="仿宋" w:eastAsia="仿宋" w:cs="仿宋"/>
          <w:sz w:val="24"/>
          <w:szCs w:val="24"/>
          <w:highlight w:val="none"/>
        </w:rPr>
        <w:t>等。</w:t>
      </w:r>
    </w:p>
    <w:p>
      <w:pPr>
        <w:pStyle w:val="5"/>
        <w:numPr>
          <w:ilvl w:val="0"/>
          <w:numId w:val="0"/>
        </w:numPr>
        <w:tabs>
          <w:tab w:val="clear" w:pos="1287"/>
        </w:tabs>
        <w:ind w:left="720"/>
        <w:rPr>
          <w:rFonts w:ascii="仿宋" w:hAnsi="仿宋" w:eastAsia="仿宋" w:cs="仿宋"/>
          <w:sz w:val="24"/>
          <w:szCs w:val="24"/>
          <w:highlight w:val="none"/>
        </w:rPr>
      </w:pPr>
      <w:bookmarkStart w:id="27" w:name="_Toc31089"/>
      <w:bookmarkStart w:id="28" w:name="_Toc10627399"/>
      <w:r>
        <w:rPr>
          <w:rFonts w:hint="eastAsia" w:ascii="仿宋" w:hAnsi="仿宋" w:eastAsia="仿宋" w:cs="仿宋"/>
          <w:sz w:val="24"/>
          <w:szCs w:val="24"/>
          <w:highlight w:val="none"/>
        </w:rPr>
        <w:t>1.2语言</w:t>
      </w:r>
      <w:bookmarkEnd w:id="27"/>
      <w:bookmarkEnd w:id="28"/>
    </w:p>
    <w:p>
      <w:pPr>
        <w:adjustRightInd w:val="0"/>
        <w:snapToGrid w:val="0"/>
        <w:spacing w:line="640" w:lineRule="exact"/>
        <w:ind w:left="210" w:leftChars="10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本合同使用中文书写、解释和说明。如专用条款约定使用两种及以上语言文字时，应以中文为准。</w:t>
      </w:r>
    </w:p>
    <w:p>
      <w:pPr>
        <w:pStyle w:val="5"/>
        <w:numPr>
          <w:ilvl w:val="0"/>
          <w:numId w:val="0"/>
        </w:numPr>
        <w:tabs>
          <w:tab w:val="clear" w:pos="1287"/>
        </w:tabs>
        <w:ind w:left="556" w:leftChars="200" w:hanging="136" w:hangingChars="57"/>
        <w:rPr>
          <w:rFonts w:ascii="仿宋" w:hAnsi="仿宋" w:eastAsia="仿宋" w:cs="仿宋"/>
          <w:sz w:val="24"/>
          <w:szCs w:val="24"/>
          <w:highlight w:val="none"/>
        </w:rPr>
      </w:pPr>
      <w:bookmarkStart w:id="29" w:name="_Toc1205"/>
      <w:bookmarkStart w:id="30" w:name="_Toc10627400"/>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1.3合同文件的优先顺序</w:t>
      </w:r>
      <w:bookmarkEnd w:id="29"/>
      <w:bookmarkEnd w:id="30"/>
    </w:p>
    <w:p>
      <w:pPr>
        <w:tabs>
          <w:tab w:val="left" w:pos="6140"/>
        </w:tabs>
        <w:adjustRightInd w:val="0"/>
        <w:snapToGrid w:val="0"/>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组成本合同的下列文件彼此应能相互解释、互为说明。本合同文件的解释顺序如下：</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(1)履行本合同的相关补充协议（含工程洽商记录、会议纪要、变更、现场签证、索赔和合同价款调整报告等修正文件）；</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(2)协议书；</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(3)中标通知书（适用于招标工程）或委托书（适用于非招标工程）；</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(4)投标函及投标函附录（适用于招标工程）或质量检测服务建议书（适用于非招标工程）；</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(5)专用条款及附件；</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(6)通用条款；</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(7)招标文件（包括补充、修改、澄清的文件、答疑纪要及总说明等）；</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(8)专用条款约定的其他文件；</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上述各项合同文件包括合同当事人就该项合同文件所作出的补充和修改，属于同一类内容的文件，应以最新签署的为准。</w:t>
      </w:r>
    </w:p>
    <w:p>
      <w:pPr>
        <w:pStyle w:val="5"/>
        <w:numPr>
          <w:ilvl w:val="0"/>
          <w:numId w:val="0"/>
        </w:numPr>
        <w:tabs>
          <w:tab w:val="clear" w:pos="1287"/>
        </w:tabs>
        <w:ind w:firstLine="482" w:firstLineChars="200"/>
        <w:rPr>
          <w:rFonts w:ascii="仿宋" w:hAnsi="仿宋" w:eastAsia="仿宋" w:cs="仿宋"/>
          <w:sz w:val="24"/>
          <w:szCs w:val="24"/>
          <w:highlight w:val="none"/>
        </w:rPr>
      </w:pPr>
      <w:bookmarkStart w:id="31" w:name="_Toc10627401"/>
      <w:bookmarkStart w:id="32" w:name="_Toc2528"/>
      <w:r>
        <w:rPr>
          <w:rFonts w:hint="eastAsia" w:ascii="仿宋" w:hAnsi="仿宋" w:eastAsia="仿宋" w:cs="仿宋"/>
          <w:sz w:val="24"/>
          <w:szCs w:val="24"/>
          <w:highlight w:val="none"/>
        </w:rPr>
        <w:t>1.4适用法律</w:t>
      </w:r>
      <w:bookmarkEnd w:id="31"/>
      <w:bookmarkEnd w:id="32"/>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本合同适用中华人民共和国法律、行政法规、部门规章以及工程所在地的地方性法规、地方政府规章和地方规范性文件等。合同当事人可以在专用条款中约定本合同适用的其他规范、规程、技术标准等文件。</w:t>
      </w:r>
    </w:p>
    <w:p>
      <w:pPr>
        <w:pStyle w:val="4"/>
        <w:numPr>
          <w:ilvl w:val="0"/>
          <w:numId w:val="0"/>
        </w:numPr>
        <w:tabs>
          <w:tab w:val="clear" w:pos="576"/>
        </w:tabs>
        <w:ind w:left="719" w:leftChars="68" w:hanging="576"/>
        <w:rPr>
          <w:rFonts w:ascii="仿宋" w:hAnsi="仿宋" w:eastAsia="仿宋" w:cs="仿宋"/>
          <w:b/>
          <w:sz w:val="24"/>
          <w:szCs w:val="24"/>
          <w:highlight w:val="none"/>
        </w:rPr>
      </w:pPr>
      <w:bookmarkStart w:id="33" w:name="_Toc10627402"/>
      <w:bookmarkStart w:id="34" w:name="_Toc32620"/>
      <w:r>
        <w:rPr>
          <w:rFonts w:hint="eastAsia" w:ascii="仿宋" w:hAnsi="仿宋" w:eastAsia="仿宋" w:cs="仿宋"/>
          <w:b/>
          <w:sz w:val="24"/>
          <w:szCs w:val="24"/>
          <w:highlight w:val="none"/>
        </w:rPr>
        <w:t>2. 甲方的权利、义务</w:t>
      </w:r>
      <w:bookmarkEnd w:id="33"/>
      <w:bookmarkEnd w:id="34"/>
    </w:p>
    <w:p>
      <w:pPr>
        <w:pStyle w:val="5"/>
        <w:numPr>
          <w:ilvl w:val="0"/>
          <w:numId w:val="0"/>
        </w:numPr>
        <w:tabs>
          <w:tab w:val="clear" w:pos="1287"/>
        </w:tabs>
        <w:ind w:left="425"/>
        <w:rPr>
          <w:rFonts w:ascii="仿宋" w:hAnsi="仿宋" w:eastAsia="仿宋" w:cs="仿宋"/>
          <w:sz w:val="24"/>
          <w:szCs w:val="24"/>
          <w:highlight w:val="none"/>
        </w:rPr>
      </w:pPr>
      <w:bookmarkStart w:id="35" w:name="_Toc10627403"/>
      <w:bookmarkStart w:id="36" w:name="_Toc25035"/>
      <w:r>
        <w:rPr>
          <w:rFonts w:hint="eastAsia" w:ascii="仿宋" w:hAnsi="仿宋" w:eastAsia="仿宋" w:cs="仿宋"/>
          <w:sz w:val="24"/>
          <w:szCs w:val="24"/>
          <w:highlight w:val="none"/>
        </w:rPr>
        <w:t>2.1现场监督</w:t>
      </w:r>
      <w:bookmarkEnd w:id="35"/>
      <w:bookmarkEnd w:id="36"/>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甲方有权亲自或派人在工程作业现场实施旁站监督。</w:t>
      </w:r>
    </w:p>
    <w:p>
      <w:pPr>
        <w:pStyle w:val="5"/>
        <w:numPr>
          <w:ilvl w:val="0"/>
          <w:numId w:val="0"/>
        </w:numPr>
        <w:tabs>
          <w:tab w:val="clear" w:pos="1287"/>
        </w:tabs>
        <w:ind w:firstLine="240" w:firstLineChars="100"/>
        <w:rPr>
          <w:rFonts w:ascii="仿宋" w:hAnsi="仿宋" w:eastAsia="仿宋" w:cs="仿宋"/>
          <w:sz w:val="24"/>
          <w:szCs w:val="24"/>
          <w:highlight w:val="none"/>
        </w:rPr>
      </w:pPr>
      <w:bookmarkStart w:id="37" w:name="_Toc10627404"/>
      <w:bookmarkStart w:id="38" w:name="_Toc15124"/>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2.2提供资料和工作条件</w:t>
      </w:r>
      <w:bookmarkEnd w:id="37"/>
      <w:bookmarkEnd w:id="38"/>
    </w:p>
    <w:p>
      <w:pPr>
        <w:adjustRightInd w:val="0"/>
        <w:snapToGrid w:val="0"/>
        <w:spacing w:line="640" w:lineRule="exact"/>
        <w:ind w:left="210" w:leftChars="100"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2.2.1甲方应当在专用条款约定范围内向乙方提供与本合同检测业务有关的资料。在本合同履行过程中，甲方应及时向乙方提供最新的与本合同检测业务有关的资料。</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2.2.2甲方应提供监督抽检通知书或见证记录等相关资料，并指派专人填写送检委托单，确保样品的真实性；若样品信息发生变更时，应及时以书面形式通知乙方。</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2.2.3甲方应在检测前向乙方提供检测规范要求的有关工程资料，并对其准确性、可靠性、真实性负责。必要时提供经建设工程质量监督部门批复的检测方案。对检测有特别技术要求的，应以书面形式提出。</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2.2.4甲方应为乙方完成质量检测提供必要的现场条件，及时为乙方提供并解决检测现场的工作条件和出现的问题（包含但不限于拆除地上地下障碍物、处理扰民及影响检测正常进行的有关问题、平整作业现场、修好通行道路、接通电源水源等），并承担其费用。</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2.2.5甲方负责确定检测项目、受检工程部位及数量，按检测方案做好进场检测的现场准备工作。</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2.2.6甲方应及时将检测项目的进度、质量等要求书面通知乙方，以保证乙方正常开展检测工作。 </w:t>
      </w:r>
    </w:p>
    <w:p>
      <w:pPr>
        <w:pStyle w:val="5"/>
        <w:numPr>
          <w:ilvl w:val="0"/>
          <w:numId w:val="0"/>
        </w:numPr>
        <w:tabs>
          <w:tab w:val="clear" w:pos="1287"/>
        </w:tabs>
        <w:ind w:firstLine="240" w:firstLineChars="100"/>
        <w:rPr>
          <w:rFonts w:ascii="仿宋" w:hAnsi="仿宋" w:eastAsia="仿宋" w:cs="仿宋"/>
          <w:sz w:val="24"/>
          <w:szCs w:val="24"/>
          <w:highlight w:val="none"/>
        </w:rPr>
      </w:pPr>
      <w:bookmarkStart w:id="39" w:name="_Toc4537"/>
      <w:bookmarkStart w:id="40" w:name="_Toc10627405"/>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2.3成果确认及验收支付</w:t>
      </w:r>
      <w:bookmarkEnd w:id="39"/>
      <w:bookmarkEnd w:id="40"/>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2.3.1甲方项目负责人应对乙方按要求完成的工作量予以签字确认。</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2.3.2若检测内容或工作量等要求发生变化时，甲方应及时以书面的形式通知乙方，否则乙方仍按原要求进行检测，甲方应认可乙方在接到书面通知前所产生的工作量。上述变化导致本项目检测费用减少的，应征得乙方书面同意，否则乙方有权按本合同的约定收取检测费用。</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2.3.3甲方应按约定的期限验收检测成果报告，审核结算，支付乙方应得款项。</w:t>
      </w:r>
    </w:p>
    <w:p>
      <w:pPr>
        <w:pStyle w:val="5"/>
        <w:numPr>
          <w:ilvl w:val="0"/>
          <w:numId w:val="0"/>
        </w:numPr>
        <w:tabs>
          <w:tab w:val="clear" w:pos="1287"/>
        </w:tabs>
        <w:ind w:left="425"/>
        <w:rPr>
          <w:rFonts w:ascii="仿宋" w:hAnsi="仿宋" w:eastAsia="仿宋" w:cs="仿宋"/>
          <w:sz w:val="24"/>
          <w:szCs w:val="24"/>
          <w:highlight w:val="none"/>
        </w:rPr>
      </w:pPr>
      <w:bookmarkStart w:id="41" w:name="_Toc31546"/>
      <w:bookmarkStart w:id="42" w:name="_Toc10627406"/>
      <w:r>
        <w:rPr>
          <w:rFonts w:hint="eastAsia" w:ascii="仿宋" w:hAnsi="仿宋" w:eastAsia="仿宋" w:cs="仿宋"/>
          <w:sz w:val="24"/>
          <w:szCs w:val="24"/>
          <w:highlight w:val="none"/>
        </w:rPr>
        <w:t>2.4 其它</w:t>
      </w:r>
      <w:bookmarkEnd w:id="41"/>
      <w:bookmarkEnd w:id="42"/>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2.4.1甲方应负责与本工程质量检测业务有关的所有外部关系的协调，为乙方履行本合同提供必要的外部条件。</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2.4.2在检测工作范围内，因甲方原因而发生安全事故，造成人员伤亡、检测设备损坏或造成经济损失时，由甲方承担相应的损害赔偿责任。</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2.4.3甲方应保护乙方的投标书、检测技术方案、报告书、文件、资料图纸、数据、专利技术和合理化建议，未经乙方同意，不得泄露、不得擅自修改或向与该项目无关的人员转让或用于本合同外的项目。</w:t>
      </w:r>
    </w:p>
    <w:p>
      <w:pPr>
        <w:pStyle w:val="4"/>
        <w:numPr>
          <w:ilvl w:val="0"/>
          <w:numId w:val="0"/>
        </w:numPr>
        <w:tabs>
          <w:tab w:val="clear" w:pos="576"/>
        </w:tabs>
        <w:rPr>
          <w:rFonts w:ascii="仿宋" w:hAnsi="仿宋" w:eastAsia="仿宋" w:cs="仿宋"/>
          <w:b/>
          <w:sz w:val="24"/>
          <w:szCs w:val="24"/>
          <w:highlight w:val="none"/>
        </w:rPr>
      </w:pPr>
      <w:bookmarkStart w:id="43" w:name="_Toc30620"/>
      <w:bookmarkStart w:id="44" w:name="_Toc10627407"/>
      <w:r>
        <w:rPr>
          <w:rFonts w:hint="eastAsia" w:ascii="仿宋" w:hAnsi="仿宋" w:eastAsia="仿宋" w:cs="仿宋"/>
          <w:b/>
          <w:sz w:val="24"/>
          <w:szCs w:val="24"/>
          <w:highlight w:val="none"/>
        </w:rPr>
        <w:t>3．乙方的权利、义务</w:t>
      </w:r>
      <w:bookmarkEnd w:id="43"/>
      <w:bookmarkEnd w:id="44"/>
    </w:p>
    <w:p>
      <w:pPr>
        <w:pStyle w:val="5"/>
        <w:numPr>
          <w:ilvl w:val="0"/>
          <w:numId w:val="0"/>
        </w:numPr>
        <w:tabs>
          <w:tab w:val="clear" w:pos="1287"/>
        </w:tabs>
        <w:ind w:left="425"/>
        <w:rPr>
          <w:rFonts w:ascii="仿宋" w:hAnsi="仿宋" w:eastAsia="仿宋" w:cs="仿宋"/>
          <w:sz w:val="24"/>
          <w:szCs w:val="24"/>
          <w:highlight w:val="none"/>
        </w:rPr>
      </w:pPr>
      <w:bookmarkStart w:id="45" w:name="_Toc10627408"/>
      <w:bookmarkStart w:id="46" w:name="_Toc5177"/>
      <w:r>
        <w:rPr>
          <w:rFonts w:hint="eastAsia" w:ascii="仿宋" w:hAnsi="仿宋" w:eastAsia="仿宋" w:cs="仿宋"/>
          <w:sz w:val="24"/>
          <w:szCs w:val="24"/>
          <w:highlight w:val="none"/>
        </w:rPr>
        <w:t>3.1人员配备</w:t>
      </w:r>
      <w:bookmarkEnd w:id="45"/>
      <w:bookmarkEnd w:id="46"/>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3.1.1乙方应选派具备相应检测能力的人员作为项目负责人，负责本合同的履行，并跟进检测事宜。</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3.1.2在本合同履行过程中，乙方人员应保持相对稳定，以保证检测工作正常进行。乙方可根据工程进展和工作需要等情形调整检测人员，更换项目负责人时应征得甲方同意后方可更换。</w:t>
      </w:r>
    </w:p>
    <w:p>
      <w:pPr>
        <w:pStyle w:val="5"/>
        <w:numPr>
          <w:ilvl w:val="0"/>
          <w:numId w:val="0"/>
        </w:numPr>
        <w:tabs>
          <w:tab w:val="clear" w:pos="1287"/>
        </w:tabs>
        <w:ind w:left="425"/>
        <w:rPr>
          <w:rFonts w:ascii="仿宋" w:hAnsi="仿宋" w:eastAsia="仿宋" w:cs="仿宋"/>
          <w:sz w:val="24"/>
          <w:szCs w:val="24"/>
          <w:highlight w:val="none"/>
        </w:rPr>
      </w:pPr>
      <w:bookmarkStart w:id="47" w:name="_Toc5064"/>
      <w:bookmarkStart w:id="48" w:name="_Toc10627409"/>
      <w:r>
        <w:rPr>
          <w:rFonts w:hint="eastAsia" w:ascii="仿宋" w:hAnsi="仿宋" w:eastAsia="仿宋" w:cs="仿宋"/>
          <w:sz w:val="24"/>
          <w:szCs w:val="24"/>
          <w:highlight w:val="none"/>
        </w:rPr>
        <w:t>3.2 资质条件</w:t>
      </w:r>
      <w:bookmarkEnd w:id="47"/>
      <w:bookmarkEnd w:id="48"/>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乙方须具有政府有关部门的资质，并向甲方提供相关资质复印件，以备查。</w:t>
      </w:r>
    </w:p>
    <w:p>
      <w:pPr>
        <w:pStyle w:val="5"/>
        <w:numPr>
          <w:ilvl w:val="0"/>
          <w:numId w:val="0"/>
        </w:numPr>
        <w:tabs>
          <w:tab w:val="clear" w:pos="1287"/>
        </w:tabs>
        <w:ind w:firstLine="240" w:firstLineChars="100"/>
        <w:rPr>
          <w:rFonts w:ascii="仿宋" w:hAnsi="仿宋" w:eastAsia="仿宋" w:cs="仿宋"/>
          <w:sz w:val="24"/>
          <w:szCs w:val="24"/>
          <w:highlight w:val="none"/>
        </w:rPr>
      </w:pPr>
      <w:bookmarkStart w:id="49" w:name="_Toc10627410"/>
      <w:bookmarkStart w:id="50" w:name="_Toc13525"/>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3.3工作要求</w:t>
      </w:r>
      <w:bookmarkEnd w:id="49"/>
      <w:bookmarkEnd w:id="50"/>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3.3.1乙方应按合同要求，接到检测通知后，及时将检测需做的准备工作提前通知甲方,以便甲方做好准备。</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3.3.2乙方应组织具有相应检测资格的技术人员、经检定合格的仪器设备按约定的时间进场，并按合同要求及国家技术规范、标准、规程和甲方的任务委托书、技术要求按期进行工程质量检测。</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3.3.3在检测过程中，发现初步结果异常时，乙方应及时告知甲方及监理单位，并根据结果异常的程度同时向建设工程监督部门报告。</w:t>
      </w:r>
    </w:p>
    <w:p>
      <w:pPr>
        <w:pStyle w:val="5"/>
        <w:numPr>
          <w:ilvl w:val="0"/>
          <w:numId w:val="0"/>
        </w:numPr>
        <w:tabs>
          <w:tab w:val="clear" w:pos="1287"/>
        </w:tabs>
        <w:ind w:firstLine="240" w:firstLineChars="100"/>
        <w:rPr>
          <w:rFonts w:ascii="仿宋" w:hAnsi="仿宋" w:eastAsia="仿宋" w:cs="仿宋"/>
          <w:sz w:val="24"/>
          <w:szCs w:val="24"/>
          <w:highlight w:val="none"/>
        </w:rPr>
      </w:pPr>
      <w:bookmarkStart w:id="51" w:name="_Toc10627411"/>
      <w:bookmarkStart w:id="52" w:name="_Toc21168"/>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3.4检测成果</w:t>
      </w:r>
      <w:bookmarkEnd w:id="51"/>
      <w:bookmarkEnd w:id="52"/>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应当按照专用条款约定的份数、组成，在单项检测完成后，按照国家技术规范、标准、规程及任务委托书的有关要求出具书面检测成果，按本合同的约定提交甲方，并对其检测结果和结论的真实性、正确性负责任。</w:t>
      </w:r>
    </w:p>
    <w:p>
      <w:pPr>
        <w:pStyle w:val="5"/>
        <w:numPr>
          <w:ilvl w:val="0"/>
          <w:numId w:val="0"/>
        </w:numPr>
        <w:tabs>
          <w:tab w:val="clear" w:pos="1287"/>
        </w:tabs>
        <w:ind w:left="425"/>
        <w:rPr>
          <w:rFonts w:ascii="仿宋" w:hAnsi="仿宋" w:eastAsia="仿宋" w:cs="仿宋"/>
          <w:sz w:val="24"/>
          <w:szCs w:val="24"/>
          <w:highlight w:val="none"/>
        </w:rPr>
      </w:pPr>
      <w:bookmarkStart w:id="53" w:name="_Toc10627412"/>
      <w:bookmarkStart w:id="54" w:name="_Toc5516"/>
      <w:r>
        <w:rPr>
          <w:rFonts w:hint="eastAsia" w:ascii="仿宋" w:hAnsi="仿宋" w:eastAsia="仿宋" w:cs="仿宋"/>
          <w:sz w:val="24"/>
          <w:szCs w:val="24"/>
          <w:highlight w:val="none"/>
        </w:rPr>
        <w:t>3.5工期顺延</w:t>
      </w:r>
      <w:bookmarkEnd w:id="53"/>
      <w:bookmarkEnd w:id="54"/>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在以下情况下，乙方进场日期可顺延：</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1.因雷雨、台风、道路阻隔等情况；</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2.经由甲方确认的其它外部因素影响或现场不具备检测条件等。</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3.出现不可抗力因素，或由于甲方无法提供必要检测工作面以及非乙方原因而使得本工程的检测无法继续进行的，工期可以顺延，双方各自承担自己的损失，不得向对方索赔。</w:t>
      </w:r>
    </w:p>
    <w:p>
      <w:pPr>
        <w:pStyle w:val="5"/>
        <w:numPr>
          <w:ilvl w:val="0"/>
          <w:numId w:val="0"/>
        </w:numPr>
        <w:tabs>
          <w:tab w:val="clear" w:pos="1287"/>
        </w:tabs>
        <w:ind w:left="425"/>
        <w:rPr>
          <w:rFonts w:ascii="仿宋" w:hAnsi="仿宋" w:eastAsia="仿宋" w:cs="仿宋"/>
          <w:sz w:val="24"/>
          <w:szCs w:val="24"/>
          <w:highlight w:val="none"/>
        </w:rPr>
      </w:pPr>
      <w:bookmarkStart w:id="55" w:name="_Toc10627413"/>
      <w:bookmarkStart w:id="56" w:name="_Toc22882"/>
      <w:r>
        <w:rPr>
          <w:rFonts w:hint="eastAsia" w:ascii="仿宋" w:hAnsi="仿宋" w:eastAsia="仿宋" w:cs="仿宋"/>
          <w:sz w:val="24"/>
          <w:szCs w:val="24"/>
          <w:highlight w:val="none"/>
        </w:rPr>
        <w:t>3.6其它</w:t>
      </w:r>
      <w:bookmarkEnd w:id="55"/>
      <w:bookmarkEnd w:id="56"/>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3.6.1在现场工作的乙方人员，应遵守甲方的安全保卫及其它有关的规章制度。</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3.6.2在检测工作中，由于乙方原因发生安全事故，造成人员人身伤害、检测设备损坏或造成经济损失时，由乙方承担相应的损害赔偿责任。</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3.6.3双方可在专用条款中约定履约保函的具体内容。应委托人的需求，检测人在合同签订期间向委托人提交银行金融机构出具的履约保函。如果检测人日后未能在检测期内按合同约定完成其所检测的工作内容，则委托方可根据责任情况与检测人协商确认违约金，可从履约保函中扣除。</w:t>
      </w:r>
    </w:p>
    <w:p>
      <w:pPr>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3.6.4 乙方应服从甲方或项目各施工单位的有关现场安全管理。</w:t>
      </w:r>
    </w:p>
    <w:p>
      <w:pPr>
        <w:pStyle w:val="5"/>
        <w:numPr>
          <w:ilvl w:val="0"/>
          <w:numId w:val="0"/>
        </w:numPr>
        <w:tabs>
          <w:tab w:val="clear" w:pos="1287"/>
        </w:tabs>
        <w:ind w:firstLine="120" w:firstLineChars="50"/>
        <w:rPr>
          <w:rFonts w:ascii="仿宋" w:hAnsi="仿宋" w:eastAsia="仿宋" w:cs="仿宋"/>
          <w:sz w:val="24"/>
          <w:szCs w:val="24"/>
          <w:highlight w:val="none"/>
        </w:rPr>
      </w:pPr>
      <w:bookmarkStart w:id="57" w:name="_Toc10627414"/>
      <w:bookmarkStart w:id="58" w:name="_Toc912"/>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4. 违约责任</w:t>
      </w:r>
      <w:bookmarkEnd w:id="57"/>
      <w:bookmarkEnd w:id="58"/>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4.1 由于甲方提供的资料、文件错误、不准确，造成工期延误或返工时，工期顺延外。</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4.2在合同履行期间，甲方要求终止或解除合同，乙方已进行工作的，甲方应按实际完成的工作量支付乙方检测费用，否则，乙方有权停发检测报告至费用缴清。</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4.3由于乙方原因造成检测成果报告不符合国家技术规范、标准、规程及任务委托书的有关要求，乙方必须在甲方要求的时间内负责无偿给予修正、补充和完善。</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4.4乙方未按照合同约定时间提交检测报告，应向甲方支付违约金。</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4.5检测报告信息错误、未按照约定检测依据进行检测或者检测结论判断错误的，乙方应进行更正或免费重新进行检测，给甲方造成损失的应予以赔偿，因甲方原因造成上述错误的除外。</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4.6乙方未按照合同约定时间进场检测，应向甲方支付违约金。</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4.7安全方面的违约责任</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由于乙方的检测工作不及时或测量、检测资料不准确而导致事故发生，给甲方造成损失的，应赔偿甲方损失。</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4.8 分包、转包方面的违约责任</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乙方擅自分包或者转包项目的，甲方有权解除合同，并要求乙方承担违约责任，若因此造成甲方损失还须赔偿相关损失。</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4.9 乙方投入的人员与本合同约定及其投标（或报价）文件、检测实施方案的承诺不符或未经甲方同意擅自更换的，乙方需支付违约金。</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4.10 乙方人员对不合格工程出具合格检测报告或结论，甲方有权单方解除合同，并要求乙方承担违约责任，若因此造成甲方损失还须赔偿相关损失。</w:t>
      </w:r>
    </w:p>
    <w:p>
      <w:pPr>
        <w:pStyle w:val="4"/>
        <w:numPr>
          <w:ilvl w:val="0"/>
          <w:numId w:val="0"/>
        </w:numPr>
        <w:tabs>
          <w:tab w:val="clear" w:pos="576"/>
        </w:tabs>
        <w:ind w:left="576"/>
        <w:rPr>
          <w:rFonts w:ascii="仿宋" w:hAnsi="仿宋" w:eastAsia="仿宋" w:cs="仿宋"/>
          <w:b/>
          <w:sz w:val="24"/>
          <w:szCs w:val="24"/>
          <w:highlight w:val="none"/>
        </w:rPr>
      </w:pPr>
      <w:bookmarkStart w:id="59" w:name="_Toc4897"/>
      <w:bookmarkStart w:id="60" w:name="_Toc10627415"/>
      <w:r>
        <w:rPr>
          <w:rFonts w:hint="eastAsia" w:ascii="仿宋" w:hAnsi="仿宋" w:eastAsia="仿宋" w:cs="仿宋"/>
          <w:b/>
          <w:sz w:val="24"/>
          <w:szCs w:val="24"/>
          <w:highlight w:val="none"/>
        </w:rPr>
        <w:t>5. 支付</w:t>
      </w:r>
      <w:bookmarkEnd w:id="59"/>
      <w:bookmarkEnd w:id="60"/>
    </w:p>
    <w:p>
      <w:pPr>
        <w:pStyle w:val="5"/>
        <w:numPr>
          <w:ilvl w:val="0"/>
          <w:numId w:val="0"/>
        </w:numPr>
        <w:tabs>
          <w:tab w:val="clear" w:pos="1287"/>
        </w:tabs>
        <w:ind w:left="567"/>
        <w:rPr>
          <w:rFonts w:ascii="仿宋" w:hAnsi="仿宋" w:eastAsia="仿宋" w:cs="仿宋"/>
          <w:sz w:val="24"/>
          <w:szCs w:val="24"/>
          <w:highlight w:val="none"/>
        </w:rPr>
      </w:pPr>
      <w:bookmarkStart w:id="61" w:name="_Toc10627416"/>
      <w:bookmarkStart w:id="62" w:name="_Toc11409"/>
      <w:r>
        <w:rPr>
          <w:rFonts w:hint="eastAsia" w:ascii="仿宋" w:hAnsi="仿宋" w:eastAsia="仿宋" w:cs="仿宋"/>
          <w:sz w:val="24"/>
          <w:szCs w:val="24"/>
          <w:highlight w:val="none"/>
        </w:rPr>
        <w:t>5.1 支付货币</w:t>
      </w:r>
      <w:bookmarkEnd w:id="61"/>
      <w:bookmarkEnd w:id="62"/>
    </w:p>
    <w:p>
      <w:pPr>
        <w:snapToGrid w:val="0"/>
        <w:spacing w:line="640" w:lineRule="exact"/>
        <w:ind w:left="210" w:leftChars="10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除专用条款另有约定外，检测费用均以人民币支付。</w:t>
      </w:r>
    </w:p>
    <w:p>
      <w:pPr>
        <w:pStyle w:val="5"/>
        <w:numPr>
          <w:ilvl w:val="0"/>
          <w:numId w:val="0"/>
        </w:numPr>
        <w:tabs>
          <w:tab w:val="clear" w:pos="1287"/>
        </w:tabs>
        <w:rPr>
          <w:rFonts w:ascii="仿宋" w:hAnsi="仿宋" w:eastAsia="仿宋" w:cs="仿宋"/>
          <w:sz w:val="24"/>
          <w:szCs w:val="24"/>
          <w:highlight w:val="none"/>
        </w:rPr>
      </w:pPr>
      <w:bookmarkStart w:id="63" w:name="_Toc28810"/>
      <w:bookmarkStart w:id="64" w:name="_Toc10627417"/>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5.2检测项目费用计算方式、金额</w:t>
      </w:r>
      <w:bookmarkEnd w:id="63"/>
      <w:bookmarkEnd w:id="64"/>
    </w:p>
    <w:p>
      <w:pPr>
        <w:snapToGrid w:val="0"/>
        <w:spacing w:line="640" w:lineRule="exact"/>
        <w:ind w:left="210" w:leftChars="10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5.2.1检测费用的计算方式可采用单价包干或总价包干，具体计算方式及结算金额在专用条款中明确。</w:t>
      </w:r>
    </w:p>
    <w:p>
      <w:pPr>
        <w:spacing w:line="640" w:lineRule="exact"/>
        <w:ind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rPr>
        <w:t>5.2.2计算方式为单价包干性质的，具体内容包括人工费、设备使用费、设备进出场费、检测试验费、报告编写费、各项管理费、利润、及所有因工程质量检测应交纳的政府规费、税金等，不论实际费用有无发生，亦不论各项费用有无涨落，结算时均不再调整。</w:t>
      </w:r>
    </w:p>
    <w:p>
      <w:pPr>
        <w:spacing w:line="640" w:lineRule="exact"/>
        <w:ind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rPr>
        <w:t>5.2.3计算方式为总价包干性质的，具体内容包括人工费、设备使用费、设备进出场费、检测试验费、报告编写费、各项管理费、利润、及所有因工程质量检测应交纳的政府规费、税金等，不论实际费用有无发生，亦不论各项费用有无涨落，结算时均不再调整。</w:t>
      </w:r>
    </w:p>
    <w:p>
      <w:pPr>
        <w:pStyle w:val="5"/>
        <w:numPr>
          <w:ilvl w:val="0"/>
          <w:numId w:val="0"/>
        </w:numPr>
        <w:tabs>
          <w:tab w:val="clear" w:pos="1287"/>
        </w:tabs>
        <w:ind w:left="567"/>
        <w:rPr>
          <w:rFonts w:ascii="仿宋" w:hAnsi="仿宋" w:eastAsia="仿宋" w:cs="仿宋"/>
          <w:sz w:val="24"/>
          <w:szCs w:val="24"/>
          <w:highlight w:val="none"/>
        </w:rPr>
      </w:pPr>
      <w:bookmarkStart w:id="65" w:name="_Toc31155"/>
      <w:bookmarkStart w:id="66" w:name="_Toc10627418"/>
      <w:r>
        <w:rPr>
          <w:rFonts w:hint="eastAsia" w:ascii="仿宋" w:hAnsi="仿宋" w:eastAsia="仿宋" w:cs="仿宋"/>
          <w:sz w:val="24"/>
          <w:szCs w:val="24"/>
          <w:highlight w:val="none"/>
        </w:rPr>
        <w:t>5.3支付方式</w:t>
      </w:r>
      <w:bookmarkEnd w:id="65"/>
      <w:bookmarkEnd w:id="66"/>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检测费用支付方式在专用条款中约定。</w:t>
      </w:r>
    </w:p>
    <w:p>
      <w:pPr>
        <w:pStyle w:val="5"/>
        <w:numPr>
          <w:ilvl w:val="0"/>
          <w:numId w:val="0"/>
        </w:numPr>
        <w:tabs>
          <w:tab w:val="clear" w:pos="1287"/>
        </w:tabs>
        <w:ind w:firstLine="120" w:firstLineChars="50"/>
        <w:rPr>
          <w:rFonts w:ascii="仿宋" w:hAnsi="仿宋" w:eastAsia="仿宋" w:cs="仿宋"/>
          <w:sz w:val="24"/>
          <w:szCs w:val="24"/>
          <w:highlight w:val="none"/>
        </w:rPr>
      </w:pPr>
      <w:bookmarkStart w:id="67" w:name="_Toc3368"/>
      <w:bookmarkStart w:id="68" w:name="_Toc10627419"/>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5.4 支付申请资料</w:t>
      </w:r>
      <w:bookmarkEnd w:id="67"/>
      <w:bookmarkEnd w:id="68"/>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乙方向甲方申请进度款或结算款时，应提供以下资料：</w:t>
      </w:r>
    </w:p>
    <w:p>
      <w:pPr>
        <w:spacing w:line="640" w:lineRule="exact"/>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1.检测费用请款书；</w:t>
      </w:r>
    </w:p>
    <w:p>
      <w:pPr>
        <w:spacing w:line="640" w:lineRule="exact"/>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2.经甲方现场代表或经甲方授权的现场监理代表签字确认的现场工程签证表；</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kern w:val="0"/>
          <w:sz w:val="24"/>
          <w:szCs w:val="24"/>
          <w:highlight w:val="none"/>
        </w:rPr>
        <w:t>经甲方现场代表或经甲方授权的现场监理代表签字的检测工作量汇总表</w:t>
      </w:r>
      <w:r>
        <w:rPr>
          <w:rFonts w:hint="eastAsia" w:ascii="仿宋" w:hAnsi="仿宋" w:eastAsia="仿宋" w:cs="仿宋"/>
          <w:sz w:val="24"/>
          <w:szCs w:val="24"/>
          <w:highlight w:val="none"/>
        </w:rPr>
        <w:t>（含报告编号，不提供检测报告）；</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4.双方约定的其它资料，可在专用条款中明确。</w:t>
      </w:r>
    </w:p>
    <w:p>
      <w:pPr>
        <w:pStyle w:val="5"/>
        <w:numPr>
          <w:ilvl w:val="0"/>
          <w:numId w:val="0"/>
        </w:numPr>
        <w:tabs>
          <w:tab w:val="clear" w:pos="1287"/>
        </w:tabs>
        <w:rPr>
          <w:rFonts w:ascii="仿宋" w:hAnsi="仿宋" w:eastAsia="仿宋" w:cs="仿宋"/>
          <w:sz w:val="24"/>
          <w:szCs w:val="24"/>
          <w:highlight w:val="none"/>
        </w:rPr>
      </w:pPr>
      <w:bookmarkStart w:id="69" w:name="_Toc31596"/>
      <w:bookmarkStart w:id="70" w:name="_Toc10627420"/>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5.5有异议部分的支付</w:t>
      </w:r>
      <w:bookmarkEnd w:id="69"/>
      <w:bookmarkEnd w:id="70"/>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甲方对乙方提交的支付申请书有异议时，应当在收到乙方提交的支付申请书后 7天内，以书面形式向乙方发出异议通知。无异议部分的款项应按期支付，有异议部分的款项按通用条款第7条约定办理。</w:t>
      </w:r>
    </w:p>
    <w:p>
      <w:pPr>
        <w:pStyle w:val="5"/>
        <w:numPr>
          <w:ilvl w:val="0"/>
          <w:numId w:val="0"/>
        </w:numPr>
        <w:tabs>
          <w:tab w:val="clear" w:pos="1287"/>
        </w:tabs>
        <w:ind w:left="567"/>
        <w:rPr>
          <w:rFonts w:ascii="仿宋" w:hAnsi="仿宋" w:eastAsia="仿宋" w:cs="仿宋"/>
          <w:sz w:val="24"/>
          <w:szCs w:val="24"/>
          <w:highlight w:val="none"/>
        </w:rPr>
      </w:pPr>
      <w:bookmarkStart w:id="71" w:name="_Toc10627421"/>
      <w:bookmarkStart w:id="72" w:name="_Toc22117"/>
      <w:r>
        <w:rPr>
          <w:rFonts w:hint="eastAsia" w:ascii="仿宋" w:hAnsi="仿宋" w:eastAsia="仿宋" w:cs="仿宋"/>
          <w:sz w:val="24"/>
          <w:szCs w:val="24"/>
          <w:highlight w:val="none"/>
        </w:rPr>
        <w:t>6.合同变更、解除与终止</w:t>
      </w:r>
      <w:bookmarkEnd w:id="71"/>
      <w:bookmarkEnd w:id="72"/>
    </w:p>
    <w:p>
      <w:pPr>
        <w:pStyle w:val="5"/>
        <w:numPr>
          <w:ilvl w:val="0"/>
          <w:numId w:val="0"/>
        </w:numPr>
        <w:tabs>
          <w:tab w:val="clear" w:pos="1287"/>
        </w:tabs>
        <w:ind w:left="567"/>
        <w:rPr>
          <w:rFonts w:ascii="仿宋" w:hAnsi="仿宋" w:eastAsia="仿宋" w:cs="仿宋"/>
          <w:sz w:val="24"/>
          <w:szCs w:val="24"/>
          <w:highlight w:val="none"/>
        </w:rPr>
      </w:pPr>
      <w:bookmarkStart w:id="73" w:name="_Toc10627422"/>
      <w:bookmarkStart w:id="74" w:name="_Toc13598"/>
      <w:r>
        <w:rPr>
          <w:rFonts w:hint="eastAsia" w:ascii="仿宋" w:hAnsi="仿宋" w:eastAsia="仿宋" w:cs="仿宋"/>
          <w:sz w:val="24"/>
          <w:szCs w:val="24"/>
          <w:highlight w:val="none"/>
        </w:rPr>
        <w:t>6.1合同变更</w:t>
      </w:r>
      <w:bookmarkEnd w:id="73"/>
      <w:bookmarkEnd w:id="74"/>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6.1.1 任何一方以书面形式提出变更请求时，双方经协商一致后可进行变更。</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6.1.2除不可抗力外，因非乙方原因导致乙方履行合同新增工程量时，乙方应当将此情况与可能产生的影响及时通知甲方，增加的工程量甲方应予以确认。新增检测费用的确定方法由双方根据委托的服务范围及工作内容在专用条款中约定。</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6.1.3合同履行过程中，遇国家、地方政府以及行业主管部门现行有效的规范、标准、规程和文件发生变化而引起质量检测的服务范围及工程量变化的，双方应通过协商确定调整方法。</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6.1.4因工程规模、服务范围及工作内容的变化等导致乙方的工作量增减时，检测费用应作相应调整，调整方法由双方在专用条款中约定。</w:t>
      </w:r>
    </w:p>
    <w:p>
      <w:pPr>
        <w:pStyle w:val="5"/>
        <w:numPr>
          <w:ilvl w:val="0"/>
          <w:numId w:val="0"/>
        </w:numPr>
        <w:tabs>
          <w:tab w:val="clear" w:pos="1287"/>
        </w:tabs>
        <w:ind w:left="567"/>
        <w:rPr>
          <w:rFonts w:ascii="仿宋" w:hAnsi="仿宋" w:eastAsia="仿宋" w:cs="仿宋"/>
          <w:sz w:val="24"/>
          <w:szCs w:val="24"/>
          <w:highlight w:val="none"/>
        </w:rPr>
      </w:pPr>
      <w:bookmarkStart w:id="75" w:name="_Toc26420"/>
      <w:bookmarkStart w:id="76" w:name="_Toc10627423"/>
      <w:r>
        <w:rPr>
          <w:rFonts w:hint="eastAsia" w:ascii="仿宋" w:hAnsi="仿宋" w:eastAsia="仿宋" w:cs="仿宋"/>
          <w:sz w:val="24"/>
          <w:szCs w:val="24"/>
          <w:highlight w:val="none"/>
        </w:rPr>
        <w:t>6.2合同解除</w:t>
      </w:r>
      <w:bookmarkEnd w:id="75"/>
      <w:bookmarkEnd w:id="76"/>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6.2.1甲方与乙方协商一致，可以解除合同。</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6.2.2有下列情形之一的，合同当事人一方或双方可以解除合同：</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1.乙方提供的质量检测服务不符合合同约定的要求，经甲方催告仍不能达到合同约定要求的，甲方可以解除合同；</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2.甲方未按合同约定支付检测费用，经乙方催告后，在 28天内仍未支付的，乙方可以解除合同；</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3.因不可抗力致使合同无法履行；</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4.因一方违约致使合同无法实际履行或实际履行已无必要。</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除上述情形外，双方可以根据委托的服务范围及工作内容，在专用条款中约定解除合同的其他条件。</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6.2.3因甲方原因导致合同解除的，甲方应按照合同约定向乙方支付已完成部分的检测费用。</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因不可抗力导致的合同解除，其损失的分担按照合理分担的原则由合同当事人在专用条款中自行约定。因乙方自身原因导致的合同解除，按照违约责任处理。</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6.2.4本合同解除后，本合同约定的有关结算、争议解决方式的条款仍然有效。</w:t>
      </w:r>
    </w:p>
    <w:p>
      <w:pPr>
        <w:pStyle w:val="5"/>
        <w:numPr>
          <w:ilvl w:val="0"/>
          <w:numId w:val="0"/>
        </w:numPr>
        <w:tabs>
          <w:tab w:val="clear" w:pos="1287"/>
        </w:tabs>
        <w:ind w:left="567"/>
        <w:rPr>
          <w:rFonts w:ascii="仿宋" w:hAnsi="仿宋" w:eastAsia="仿宋" w:cs="仿宋"/>
          <w:sz w:val="24"/>
          <w:szCs w:val="24"/>
          <w:highlight w:val="none"/>
        </w:rPr>
      </w:pPr>
      <w:bookmarkStart w:id="77" w:name="_Toc10627424"/>
      <w:bookmarkStart w:id="78" w:name="_Toc20132"/>
      <w:r>
        <w:rPr>
          <w:rFonts w:hint="eastAsia" w:ascii="仿宋" w:hAnsi="仿宋" w:eastAsia="仿宋" w:cs="仿宋"/>
          <w:sz w:val="24"/>
          <w:szCs w:val="24"/>
          <w:highlight w:val="none"/>
        </w:rPr>
        <w:t>6.3合同终止条件</w:t>
      </w:r>
      <w:bookmarkEnd w:id="77"/>
      <w:bookmarkEnd w:id="78"/>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除合同解除外，以下条件全部满足时，本合同终止：</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1.乙方完成本合同约定的全部工作；</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2.甲方与乙方结清并支付检测费用。</w:t>
      </w:r>
    </w:p>
    <w:p>
      <w:pPr>
        <w:pStyle w:val="5"/>
        <w:numPr>
          <w:ilvl w:val="0"/>
          <w:numId w:val="0"/>
        </w:numPr>
        <w:tabs>
          <w:tab w:val="clear" w:pos="1287"/>
        </w:tabs>
        <w:ind w:left="567"/>
        <w:rPr>
          <w:rFonts w:ascii="仿宋" w:hAnsi="仿宋" w:eastAsia="仿宋" w:cs="仿宋"/>
          <w:sz w:val="24"/>
          <w:szCs w:val="24"/>
          <w:highlight w:val="none"/>
        </w:rPr>
      </w:pPr>
      <w:bookmarkStart w:id="79" w:name="_Toc9711"/>
      <w:bookmarkStart w:id="80" w:name="_Toc10627425"/>
      <w:r>
        <w:rPr>
          <w:rFonts w:hint="eastAsia" w:ascii="仿宋" w:hAnsi="仿宋" w:eastAsia="仿宋" w:cs="仿宋"/>
          <w:sz w:val="24"/>
          <w:szCs w:val="24"/>
          <w:highlight w:val="none"/>
        </w:rPr>
        <w:t>7. 争议解决</w:t>
      </w:r>
      <w:bookmarkEnd w:id="79"/>
      <w:bookmarkEnd w:id="80"/>
    </w:p>
    <w:p>
      <w:pPr>
        <w:pStyle w:val="5"/>
        <w:numPr>
          <w:ilvl w:val="0"/>
          <w:numId w:val="0"/>
        </w:numPr>
        <w:tabs>
          <w:tab w:val="clear" w:pos="1287"/>
        </w:tabs>
        <w:ind w:left="567"/>
        <w:rPr>
          <w:rFonts w:ascii="仿宋" w:hAnsi="仿宋" w:eastAsia="仿宋" w:cs="仿宋"/>
          <w:sz w:val="24"/>
          <w:szCs w:val="24"/>
          <w:highlight w:val="none"/>
        </w:rPr>
      </w:pPr>
      <w:bookmarkStart w:id="81" w:name="_Toc10627426"/>
      <w:bookmarkStart w:id="82" w:name="_Toc9007"/>
      <w:r>
        <w:rPr>
          <w:rFonts w:hint="eastAsia" w:ascii="仿宋" w:hAnsi="仿宋" w:eastAsia="仿宋" w:cs="仿宋"/>
          <w:sz w:val="24"/>
          <w:szCs w:val="24"/>
          <w:highlight w:val="none"/>
        </w:rPr>
        <w:t>7.1协商</w:t>
      </w:r>
      <w:bookmarkEnd w:id="81"/>
      <w:bookmarkEnd w:id="82"/>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双方应本着诚实信用的原则协商解决本合同履行过程中发生的争议。</w:t>
      </w:r>
    </w:p>
    <w:p>
      <w:pPr>
        <w:pStyle w:val="5"/>
        <w:numPr>
          <w:ilvl w:val="0"/>
          <w:numId w:val="0"/>
        </w:numPr>
        <w:tabs>
          <w:tab w:val="clear" w:pos="1287"/>
        </w:tabs>
        <w:ind w:left="567"/>
        <w:rPr>
          <w:rFonts w:ascii="仿宋" w:hAnsi="仿宋" w:eastAsia="仿宋" w:cs="仿宋"/>
          <w:sz w:val="24"/>
          <w:szCs w:val="24"/>
          <w:highlight w:val="none"/>
        </w:rPr>
      </w:pPr>
      <w:bookmarkStart w:id="83" w:name="_Toc10627427"/>
      <w:bookmarkStart w:id="84" w:name="_Toc24121"/>
      <w:r>
        <w:rPr>
          <w:rFonts w:hint="eastAsia" w:ascii="仿宋" w:hAnsi="仿宋" w:eastAsia="仿宋" w:cs="仿宋"/>
          <w:sz w:val="24"/>
          <w:szCs w:val="24"/>
          <w:highlight w:val="none"/>
        </w:rPr>
        <w:t>7.2仲裁或诉讼</w:t>
      </w:r>
      <w:bookmarkEnd w:id="83"/>
      <w:bookmarkEnd w:id="84"/>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协商不成时，双方有权向专用条款约定的仲裁机构申请仲裁或向有管辖权的人民法院提起诉讼。</w:t>
      </w:r>
    </w:p>
    <w:p>
      <w:pPr>
        <w:pStyle w:val="4"/>
        <w:numPr>
          <w:ilvl w:val="0"/>
          <w:numId w:val="0"/>
        </w:numPr>
        <w:tabs>
          <w:tab w:val="clear" w:pos="576"/>
        </w:tabs>
        <w:rPr>
          <w:rFonts w:ascii="仿宋" w:hAnsi="仿宋" w:eastAsia="仿宋" w:cs="仿宋"/>
          <w:sz w:val="24"/>
          <w:szCs w:val="24"/>
          <w:highlight w:val="none"/>
        </w:rPr>
      </w:pPr>
      <w:bookmarkStart w:id="85" w:name="_Toc10627428"/>
      <w:bookmarkStart w:id="86" w:name="_Toc8231"/>
      <w:r>
        <w:rPr>
          <w:rFonts w:hint="eastAsia" w:ascii="仿宋" w:hAnsi="仿宋" w:eastAsia="仿宋" w:cs="仿宋"/>
          <w:sz w:val="24"/>
          <w:szCs w:val="24"/>
          <w:highlight w:val="none"/>
        </w:rPr>
        <w:t>8. 其它</w:t>
      </w:r>
      <w:bookmarkEnd w:id="85"/>
      <w:bookmarkEnd w:id="86"/>
    </w:p>
    <w:p>
      <w:pPr>
        <w:pStyle w:val="5"/>
        <w:numPr>
          <w:ilvl w:val="0"/>
          <w:numId w:val="0"/>
        </w:numPr>
        <w:tabs>
          <w:tab w:val="clear" w:pos="1287"/>
        </w:tabs>
        <w:ind w:left="567"/>
        <w:rPr>
          <w:rFonts w:ascii="仿宋" w:hAnsi="仿宋" w:eastAsia="仿宋" w:cs="仿宋"/>
          <w:sz w:val="24"/>
          <w:szCs w:val="24"/>
          <w:highlight w:val="none"/>
        </w:rPr>
      </w:pPr>
      <w:bookmarkStart w:id="87" w:name="_Toc10627429"/>
      <w:bookmarkStart w:id="88" w:name="_Toc7915"/>
      <w:r>
        <w:rPr>
          <w:rFonts w:hint="eastAsia" w:ascii="仿宋" w:hAnsi="仿宋" w:eastAsia="仿宋" w:cs="仿宋"/>
          <w:sz w:val="24"/>
          <w:szCs w:val="24"/>
          <w:highlight w:val="none"/>
        </w:rPr>
        <w:t>8.1 保密</w:t>
      </w:r>
      <w:bookmarkEnd w:id="87"/>
      <w:bookmarkEnd w:id="88"/>
    </w:p>
    <w:p>
      <w:pPr>
        <w:tabs>
          <w:tab w:val="left" w:pos="540"/>
        </w:tabs>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在本合同履行期间或专用条款约定的期限内，双方不得泄露对方申明的保密资料，亦不得泄露与实施工程有关的第三人所提供的保密资料。保密事项在专用条款中约定。</w:t>
      </w:r>
    </w:p>
    <w:p>
      <w:pPr>
        <w:snapToGrid w:val="0"/>
        <w:spacing w:line="640" w:lineRule="exact"/>
        <w:ind w:firstLine="480" w:firstLineChars="200"/>
        <w:rPr>
          <w:rFonts w:ascii="仿宋" w:hAnsi="仿宋" w:eastAsia="仿宋" w:cs="仿宋"/>
          <w:sz w:val="24"/>
          <w:szCs w:val="24"/>
          <w:highlight w:val="none"/>
        </w:rPr>
      </w:pPr>
    </w:p>
    <w:p>
      <w:pPr>
        <w:pStyle w:val="5"/>
        <w:numPr>
          <w:ilvl w:val="0"/>
          <w:numId w:val="0"/>
        </w:numPr>
        <w:tabs>
          <w:tab w:val="clear" w:pos="1287"/>
        </w:tabs>
        <w:ind w:left="567"/>
        <w:rPr>
          <w:rFonts w:ascii="仿宋" w:hAnsi="仿宋" w:eastAsia="仿宋" w:cs="仿宋"/>
          <w:sz w:val="24"/>
          <w:szCs w:val="24"/>
          <w:highlight w:val="none"/>
        </w:rPr>
      </w:pPr>
      <w:bookmarkStart w:id="89" w:name="_Toc10627430"/>
      <w:bookmarkStart w:id="90" w:name="_Toc15334"/>
      <w:r>
        <w:rPr>
          <w:rFonts w:hint="eastAsia" w:ascii="仿宋" w:hAnsi="仿宋" w:eastAsia="仿宋" w:cs="仿宋"/>
          <w:sz w:val="24"/>
          <w:szCs w:val="24"/>
          <w:highlight w:val="none"/>
        </w:rPr>
        <w:t>8.2 通知与送达</w:t>
      </w:r>
      <w:bookmarkEnd w:id="89"/>
      <w:bookmarkEnd w:id="90"/>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8.2.1与合同有关的通知、指示、要求、决定等，均应采用书面形式，并应在专用条款约定的期限内送达接收人和送达地点。</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8.2.2甲方和乙方应在专用条款中约定各自的送达接收人、送达地点、电子邮箱。任何一方指定的接收人或送达地点或电子邮箱发生变动的，应提前 3天以书面形式通知对方，否则视为未发生变动。</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8.2.3甲方和乙方应当及时签收另一方送达至送达地点和指定接收人的往来函件，如逾期未答复或确有充分证据证明一方无正当理由拒签的，视为认可往来函件的内容。</w:t>
      </w:r>
    </w:p>
    <w:p>
      <w:pPr>
        <w:pStyle w:val="5"/>
        <w:numPr>
          <w:ilvl w:val="0"/>
          <w:numId w:val="0"/>
        </w:numPr>
        <w:tabs>
          <w:tab w:val="clear" w:pos="1287"/>
        </w:tabs>
        <w:ind w:left="567"/>
        <w:rPr>
          <w:rFonts w:ascii="仿宋" w:hAnsi="仿宋" w:eastAsia="仿宋" w:cs="仿宋"/>
          <w:sz w:val="24"/>
          <w:szCs w:val="24"/>
          <w:highlight w:val="none"/>
        </w:rPr>
      </w:pPr>
      <w:bookmarkStart w:id="91" w:name="_Toc10627431"/>
      <w:bookmarkStart w:id="92" w:name="_Toc9291"/>
      <w:r>
        <w:rPr>
          <w:rFonts w:hint="eastAsia" w:ascii="仿宋" w:hAnsi="仿宋" w:eastAsia="仿宋" w:cs="仿宋"/>
          <w:sz w:val="24"/>
          <w:szCs w:val="24"/>
          <w:highlight w:val="none"/>
        </w:rPr>
        <w:t>8.3知识产权</w:t>
      </w:r>
      <w:bookmarkEnd w:id="91"/>
      <w:bookmarkEnd w:id="92"/>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合同涉及的知识产权的归属由双方在专用条款另行约定。</w:t>
      </w:r>
    </w:p>
    <w:p>
      <w:pPr>
        <w:pStyle w:val="3"/>
        <w:tabs>
          <w:tab w:val="left" w:pos="420"/>
        </w:tabs>
        <w:ind w:firstLine="2530" w:firstLineChars="700"/>
        <w:jc w:val="both"/>
        <w:rPr>
          <w:rFonts w:ascii="仿宋" w:hAnsi="仿宋" w:eastAsia="仿宋" w:cs="仿宋"/>
          <w:b/>
          <w:bCs/>
          <w:sz w:val="32"/>
          <w:szCs w:val="32"/>
          <w:highlight w:val="none"/>
        </w:rPr>
      </w:pPr>
      <w:bookmarkStart w:id="93" w:name="_Toc10627432"/>
      <w:bookmarkStart w:id="94" w:name="_Toc19342"/>
      <w:r>
        <w:rPr>
          <w:rFonts w:hint="eastAsia" w:ascii="仿宋" w:hAnsi="仿宋" w:eastAsia="仿宋" w:cs="仿宋"/>
          <w:b/>
          <w:bCs/>
          <w:sz w:val="36"/>
          <w:szCs w:val="36"/>
          <w:highlight w:val="none"/>
        </w:rPr>
        <w:br w:type="page"/>
      </w:r>
      <w:r>
        <w:rPr>
          <w:rFonts w:hint="eastAsia" w:ascii="仿宋" w:hAnsi="仿宋" w:eastAsia="仿宋" w:cs="仿宋"/>
          <w:b/>
          <w:bCs/>
          <w:sz w:val="36"/>
          <w:szCs w:val="36"/>
          <w:highlight w:val="none"/>
        </w:rPr>
        <w:t>第三部分  专用条款</w:t>
      </w:r>
      <w:bookmarkEnd w:id="93"/>
      <w:bookmarkEnd w:id="94"/>
    </w:p>
    <w:p>
      <w:pPr>
        <w:pStyle w:val="5"/>
        <w:numPr>
          <w:ilvl w:val="0"/>
          <w:numId w:val="0"/>
        </w:numPr>
        <w:tabs>
          <w:tab w:val="clear" w:pos="1287"/>
        </w:tabs>
        <w:spacing w:line="640" w:lineRule="exact"/>
        <w:ind w:left="567"/>
        <w:outlineLvl w:val="1"/>
        <w:rPr>
          <w:rFonts w:ascii="仿宋" w:hAnsi="仿宋" w:eastAsia="仿宋" w:cs="仿宋"/>
          <w:sz w:val="24"/>
          <w:szCs w:val="24"/>
          <w:highlight w:val="none"/>
        </w:rPr>
      </w:pPr>
      <w:bookmarkStart w:id="95" w:name="_Toc6432"/>
      <w:bookmarkStart w:id="96" w:name="_Toc10627433"/>
      <w:r>
        <w:rPr>
          <w:rFonts w:hint="eastAsia" w:ascii="仿宋" w:hAnsi="仿宋" w:eastAsia="仿宋" w:cs="仿宋"/>
          <w:sz w:val="24"/>
          <w:szCs w:val="24"/>
          <w:highlight w:val="none"/>
        </w:rPr>
        <w:t>1. 词语定义、语言、解释顺序与适用法律</w:t>
      </w:r>
      <w:bookmarkEnd w:id="95"/>
      <w:bookmarkEnd w:id="96"/>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97" w:name="_Toc10627434"/>
      <w:bookmarkStart w:id="98" w:name="_Toc30791"/>
      <w:r>
        <w:rPr>
          <w:rFonts w:hint="eastAsia" w:ascii="仿宋" w:hAnsi="仿宋" w:eastAsia="仿宋" w:cs="仿宋"/>
          <w:sz w:val="24"/>
          <w:szCs w:val="24"/>
          <w:highlight w:val="none"/>
        </w:rPr>
        <w:t>1.2语言</w:t>
      </w:r>
      <w:bookmarkEnd w:id="97"/>
      <w:bookmarkEnd w:id="98"/>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本合同文件除使用中文外，还可用</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99" w:name="_Toc10627435"/>
      <w:bookmarkStart w:id="100" w:name="_Toc3435"/>
      <w:r>
        <w:rPr>
          <w:rFonts w:hint="eastAsia" w:ascii="仿宋" w:hAnsi="仿宋" w:eastAsia="仿宋" w:cs="仿宋"/>
          <w:sz w:val="24"/>
          <w:szCs w:val="24"/>
          <w:highlight w:val="none"/>
        </w:rPr>
        <w:t>1.4适用法律</w:t>
      </w:r>
      <w:bookmarkEnd w:id="99"/>
      <w:bookmarkEnd w:id="100"/>
    </w:p>
    <w:p>
      <w:pPr>
        <w:widowControl/>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本合同适用的其他规范性文件包括：</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pStyle w:val="5"/>
        <w:numPr>
          <w:ilvl w:val="0"/>
          <w:numId w:val="0"/>
        </w:numPr>
        <w:tabs>
          <w:tab w:val="clear" w:pos="1287"/>
        </w:tabs>
        <w:spacing w:line="640" w:lineRule="exact"/>
        <w:ind w:left="567"/>
        <w:outlineLvl w:val="1"/>
        <w:rPr>
          <w:rFonts w:ascii="仿宋" w:hAnsi="仿宋" w:eastAsia="仿宋" w:cs="仿宋"/>
          <w:sz w:val="24"/>
          <w:szCs w:val="24"/>
          <w:highlight w:val="none"/>
        </w:rPr>
      </w:pPr>
      <w:bookmarkStart w:id="101" w:name="_Toc10627436"/>
      <w:bookmarkStart w:id="102" w:name="_Toc22435"/>
      <w:r>
        <w:rPr>
          <w:rFonts w:hint="eastAsia" w:ascii="仿宋" w:hAnsi="仿宋" w:eastAsia="仿宋" w:cs="仿宋"/>
          <w:sz w:val="24"/>
          <w:szCs w:val="24"/>
          <w:highlight w:val="none"/>
        </w:rPr>
        <w:t>2. 甲方的权利、义务</w:t>
      </w:r>
      <w:bookmarkEnd w:id="101"/>
      <w:bookmarkEnd w:id="102"/>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03" w:name="_Toc14274"/>
      <w:bookmarkStart w:id="104" w:name="_Toc10627437"/>
      <w:r>
        <w:rPr>
          <w:rFonts w:hint="eastAsia" w:ascii="仿宋" w:hAnsi="仿宋" w:eastAsia="仿宋" w:cs="仿宋"/>
          <w:sz w:val="24"/>
          <w:szCs w:val="24"/>
          <w:highlight w:val="none"/>
        </w:rPr>
        <w:t>2.1现场监督</w:t>
      </w:r>
      <w:bookmarkEnd w:id="103"/>
      <w:bookmarkEnd w:id="104"/>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甲方选派 姓名：、联系电话：为本项目负责人，负责本合同履行的有关事项，包括但不限于布置检测任务、指挥联络、现场监督、确认检测工作量、跟进送检等工作。</w:t>
      </w:r>
    </w:p>
    <w:p>
      <w:pPr>
        <w:pStyle w:val="5"/>
        <w:numPr>
          <w:ilvl w:val="0"/>
          <w:numId w:val="0"/>
        </w:numPr>
        <w:tabs>
          <w:tab w:val="clear" w:pos="1287"/>
        </w:tabs>
        <w:spacing w:line="640" w:lineRule="exact"/>
        <w:ind w:firstLine="120" w:firstLineChars="50"/>
        <w:rPr>
          <w:rFonts w:ascii="仿宋" w:hAnsi="仿宋" w:eastAsia="仿宋" w:cs="仿宋"/>
          <w:sz w:val="24"/>
          <w:szCs w:val="24"/>
          <w:highlight w:val="none"/>
        </w:rPr>
      </w:pPr>
      <w:bookmarkStart w:id="105" w:name="_Toc2048"/>
      <w:bookmarkStart w:id="106" w:name="_Toc10627438"/>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2.2提供资料及工作条件</w:t>
      </w:r>
      <w:bookmarkEnd w:id="105"/>
      <w:bookmarkEnd w:id="106"/>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2.2.6甲方应至少提前</w:t>
      </w:r>
      <w:r>
        <w:rPr>
          <w:rFonts w:hint="eastAsia" w:ascii="仿宋" w:hAnsi="仿宋" w:eastAsia="仿宋" w:cs="仿宋"/>
          <w:sz w:val="24"/>
          <w:szCs w:val="24"/>
          <w:highlight w:val="none"/>
          <w:u w:val="single"/>
        </w:rPr>
        <w:t>5</w:t>
      </w:r>
      <w:r>
        <w:rPr>
          <w:rFonts w:hint="eastAsia" w:ascii="仿宋" w:hAnsi="仿宋" w:eastAsia="仿宋" w:cs="仿宋"/>
          <w:sz w:val="24"/>
          <w:szCs w:val="24"/>
          <w:highlight w:val="none"/>
        </w:rPr>
        <w:t>天将检测项目的进度、质量等要求通知乙方，特殊情况不得少于</w:t>
      </w:r>
      <w:r>
        <w:rPr>
          <w:rFonts w:hint="eastAsia" w:ascii="仿宋" w:hAnsi="仿宋" w:eastAsia="仿宋" w:cs="仿宋"/>
          <w:sz w:val="24"/>
          <w:szCs w:val="24"/>
          <w:highlight w:val="none"/>
          <w:u w:val="single"/>
        </w:rPr>
        <w:t>2</w:t>
      </w:r>
      <w:r>
        <w:rPr>
          <w:rFonts w:hint="eastAsia" w:ascii="仿宋" w:hAnsi="仿宋" w:eastAsia="仿宋" w:cs="仿宋"/>
          <w:sz w:val="24"/>
          <w:szCs w:val="24"/>
          <w:highlight w:val="none"/>
        </w:rPr>
        <w:t>天。</w:t>
      </w:r>
    </w:p>
    <w:p>
      <w:pPr>
        <w:pStyle w:val="5"/>
        <w:numPr>
          <w:ilvl w:val="0"/>
          <w:numId w:val="0"/>
        </w:numPr>
        <w:tabs>
          <w:tab w:val="clear" w:pos="1287"/>
        </w:tabs>
        <w:spacing w:line="640" w:lineRule="exact"/>
        <w:ind w:left="283" w:leftChars="135"/>
        <w:rPr>
          <w:rFonts w:ascii="仿宋" w:hAnsi="仿宋" w:eastAsia="仿宋" w:cs="仿宋"/>
          <w:sz w:val="24"/>
          <w:szCs w:val="24"/>
          <w:highlight w:val="none"/>
        </w:rPr>
      </w:pPr>
      <w:bookmarkStart w:id="107" w:name="_Toc32417"/>
      <w:bookmarkStart w:id="108" w:name="_Toc10627439"/>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2.3成果确认及验收支付</w:t>
      </w:r>
      <w:bookmarkEnd w:id="107"/>
      <w:bookmarkEnd w:id="108"/>
    </w:p>
    <w:p>
      <w:pPr>
        <w:spacing w:line="64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2.3.3甲方应自领取检测报告之日起</w:t>
      </w:r>
      <w:r>
        <w:rPr>
          <w:rFonts w:hint="eastAsia" w:ascii="仿宋" w:hAnsi="仿宋" w:eastAsia="仿宋" w:cs="仿宋"/>
          <w:sz w:val="24"/>
          <w:szCs w:val="24"/>
          <w:highlight w:val="none"/>
          <w:u w:val="single"/>
        </w:rPr>
        <w:t>7</w:t>
      </w:r>
      <w:r>
        <w:rPr>
          <w:rFonts w:hint="eastAsia" w:ascii="仿宋" w:hAnsi="仿宋" w:eastAsia="仿宋" w:cs="仿宋"/>
          <w:sz w:val="24"/>
          <w:szCs w:val="24"/>
          <w:highlight w:val="none"/>
        </w:rPr>
        <w:t>天内对检测报告进行验收</w:t>
      </w:r>
      <w:r>
        <w:rPr>
          <w:rFonts w:hint="eastAsia" w:ascii="仿宋" w:hAnsi="仿宋" w:eastAsia="仿宋" w:cs="仿宋"/>
          <w:sz w:val="24"/>
          <w:szCs w:val="24"/>
          <w:highlight w:val="none"/>
          <w:lang w:eastAsia="zh-CN"/>
        </w:rPr>
        <w:t>，</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审核结算并支付乙方应得款项，若有异议的，在收到报告之日起15天内以书面形式向乙方提出，由双方共同认可或相关行政主管部门制定的检测机构复检。复检结论与原检测结论相同，由甲方支付复检费用；复检结论与原检测结论不相同，则由乙方承担复检费用。</w:t>
      </w:r>
    </w:p>
    <w:p>
      <w:pPr>
        <w:pStyle w:val="4"/>
        <w:numPr>
          <w:ilvl w:val="0"/>
          <w:numId w:val="0"/>
        </w:numPr>
        <w:tabs>
          <w:tab w:val="clear" w:pos="576"/>
        </w:tabs>
        <w:spacing w:line="640" w:lineRule="exact"/>
        <w:ind w:left="576"/>
        <w:rPr>
          <w:rFonts w:ascii="仿宋" w:hAnsi="仿宋" w:eastAsia="仿宋" w:cs="仿宋"/>
          <w:b/>
          <w:sz w:val="24"/>
          <w:szCs w:val="24"/>
          <w:highlight w:val="none"/>
        </w:rPr>
      </w:pPr>
      <w:bookmarkStart w:id="109" w:name="_Toc10627440"/>
      <w:bookmarkStart w:id="110" w:name="_Toc31008"/>
      <w:r>
        <w:rPr>
          <w:rFonts w:hint="eastAsia" w:ascii="仿宋" w:hAnsi="仿宋" w:eastAsia="仿宋" w:cs="仿宋"/>
          <w:b/>
          <w:sz w:val="24"/>
          <w:szCs w:val="24"/>
          <w:highlight w:val="none"/>
        </w:rPr>
        <w:t>3. 乙方的权利、义务</w:t>
      </w:r>
      <w:bookmarkEnd w:id="109"/>
      <w:bookmarkEnd w:id="110"/>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11" w:name="_Toc28975"/>
      <w:bookmarkStart w:id="112" w:name="_Toc10627441"/>
      <w:r>
        <w:rPr>
          <w:rFonts w:hint="eastAsia" w:ascii="仿宋" w:hAnsi="仿宋" w:eastAsia="仿宋" w:cs="仿宋"/>
          <w:sz w:val="24"/>
          <w:szCs w:val="24"/>
          <w:highlight w:val="none"/>
        </w:rPr>
        <w:t>3.1人员配备</w:t>
      </w:r>
      <w:bookmarkEnd w:id="111"/>
      <w:bookmarkEnd w:id="112"/>
    </w:p>
    <w:p>
      <w:pPr>
        <w:tabs>
          <w:tab w:val="left" w:pos="420"/>
          <w:tab w:val="left" w:pos="630"/>
        </w:tabs>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kern w:val="0"/>
          <w:sz w:val="24"/>
          <w:szCs w:val="24"/>
          <w:highlight w:val="none"/>
        </w:rPr>
        <w:t>3.1.1乙方</w:t>
      </w:r>
      <w:r>
        <w:rPr>
          <w:rFonts w:hint="eastAsia" w:ascii="仿宋" w:hAnsi="仿宋" w:eastAsia="仿宋" w:cs="仿宋"/>
          <w:sz w:val="24"/>
          <w:szCs w:val="24"/>
          <w:highlight w:val="none"/>
        </w:rPr>
        <w:t>选派姓名：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为本项目负责人。</w:t>
      </w:r>
    </w:p>
    <w:p>
      <w:pPr>
        <w:pStyle w:val="5"/>
        <w:numPr>
          <w:ilvl w:val="0"/>
          <w:numId w:val="0"/>
        </w:numPr>
        <w:tabs>
          <w:tab w:val="clear" w:pos="1287"/>
        </w:tabs>
        <w:spacing w:line="640" w:lineRule="exact"/>
        <w:ind w:left="-141" w:leftChars="-67" w:firstLine="240" w:firstLineChars="100"/>
        <w:rPr>
          <w:rFonts w:ascii="仿宋" w:hAnsi="仿宋" w:eastAsia="仿宋" w:cs="仿宋"/>
          <w:sz w:val="24"/>
          <w:szCs w:val="24"/>
          <w:highlight w:val="none"/>
        </w:rPr>
      </w:pPr>
      <w:bookmarkStart w:id="113" w:name="_Toc2636"/>
      <w:bookmarkStart w:id="114" w:name="_Toc10627442"/>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3.4检测成果</w:t>
      </w:r>
      <w:bookmarkEnd w:id="113"/>
      <w:bookmarkEnd w:id="114"/>
    </w:p>
    <w:p>
      <w:pPr>
        <w:widowControl/>
        <w:numPr>
          <w:ilvl w:val="0"/>
          <w:numId w:val="2"/>
        </w:num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按照国家、地方政府以及行业主管部门现行有效的规范、标准、规程和文件，本合同约定的质量检测服务适用的技术标准、规范等依据为：</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1、《钻芯法检测混凝土强度技术规程》JGJ/T 384-2016；</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2、《混凝土中氯离子含量检测技术规程》JGJ/T 322-2013；</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3、《混凝土中钢筋检测技术规程》JGJ/T 152-2019；</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4、《广东省建筑节能与绿色建筑工程施工质量验收规范》（DBJ15-65-2021）；</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5、《公共建筑节能检测标准》（JGJ/T177-2009）；</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6、《公共建筑节能设计标准》（GB50189-2015）；</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7、《建筑工程施工质量验收统一标准》（GB50300-2013）；</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8、《房屋建筑和市政基础设施工程质量检测技术管理规范》GB50618-2011；</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9、《建筑地基基础检测规范》DBJ/T 15-60-2019（以下简称省标；）</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10、《建筑地基基础工程施工质量验收规范》GB50202-2018；</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实际服务依据以实施检测时国家及地方发布的最新规范、标准及规定为准，并结合本项目的招标文件、投标文件、相关图纸及设计文件等相关资料。</w:t>
      </w:r>
    </w:p>
    <w:p>
      <w:pPr>
        <w:tabs>
          <w:tab w:val="left" w:pos="420"/>
          <w:tab w:val="left" w:pos="630"/>
        </w:tabs>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2. 在单项检测完成后，乙方按照国家技术规范、标准、规程及任务委托书的有关要求出具书面检测报告</w:t>
      </w:r>
      <w:r>
        <w:rPr>
          <w:rFonts w:hint="eastAsia" w:ascii="仿宋" w:hAnsi="仿宋" w:eastAsia="仿宋" w:cs="仿宋"/>
          <w:sz w:val="24"/>
          <w:szCs w:val="24"/>
          <w:highlight w:val="none"/>
          <w:u w:val="single"/>
        </w:rPr>
        <w:t>一</w:t>
      </w:r>
      <w:r>
        <w:rPr>
          <w:rFonts w:hint="eastAsia" w:ascii="仿宋" w:hAnsi="仿宋" w:eastAsia="仿宋" w:cs="仿宋"/>
          <w:sz w:val="24"/>
          <w:szCs w:val="24"/>
          <w:highlight w:val="none"/>
        </w:rPr>
        <w:t>式</w:t>
      </w:r>
      <w:r>
        <w:rPr>
          <w:rFonts w:hint="eastAsia" w:ascii="仿宋" w:hAnsi="仿宋" w:eastAsia="仿宋" w:cs="仿宋"/>
          <w:sz w:val="24"/>
          <w:szCs w:val="24"/>
          <w:highlight w:val="none"/>
          <w:u w:val="single"/>
        </w:rPr>
        <w:t>五</w:t>
      </w:r>
      <w:r>
        <w:rPr>
          <w:rFonts w:hint="eastAsia" w:ascii="仿宋" w:hAnsi="仿宋" w:eastAsia="仿宋" w:cs="仿宋"/>
          <w:sz w:val="24"/>
          <w:szCs w:val="24"/>
          <w:highlight w:val="none"/>
        </w:rPr>
        <w:t xml:space="preserve">份 。 </w:t>
      </w:r>
    </w:p>
    <w:p>
      <w:pPr>
        <w:spacing w:line="640" w:lineRule="exact"/>
        <w:ind w:left="210" w:leftChars="100"/>
        <w:outlineLvl w:val="2"/>
        <w:rPr>
          <w:rFonts w:ascii="仿宋" w:hAnsi="仿宋" w:eastAsia="仿宋" w:cs="仿宋"/>
          <w:sz w:val="24"/>
          <w:szCs w:val="24"/>
          <w:highlight w:val="none"/>
        </w:rPr>
      </w:pPr>
      <w:bookmarkStart w:id="115" w:name="_Toc21323"/>
      <w:bookmarkStart w:id="116" w:name="_Toc10627443"/>
      <w:r>
        <w:rPr>
          <w:rFonts w:hint="eastAsia" w:ascii="仿宋" w:hAnsi="仿宋" w:eastAsia="仿宋" w:cs="仿宋"/>
          <w:sz w:val="24"/>
          <w:szCs w:val="24"/>
          <w:highlight w:val="none"/>
        </w:rPr>
        <w:t>3.6.3履约保函</w:t>
      </w:r>
      <w:bookmarkEnd w:id="115"/>
      <w:bookmarkEnd w:id="116"/>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履约保函按下列方式</w:t>
      </w: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rPr>
        <w:t>进行办理：</w:t>
      </w:r>
    </w:p>
    <w:p>
      <w:pPr>
        <w:snapToGrid w:val="0"/>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（1）委托人不需要检测人出具履约保函；</w:t>
      </w:r>
    </w:p>
    <w:p>
      <w:pPr>
        <w:tabs>
          <w:tab w:val="left" w:pos="420"/>
          <w:tab w:val="left" w:pos="630"/>
        </w:tabs>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2）委托人需要检测人出具履约保函的，检测人应在签订本合同后天内向委托人提交在中国注册的银行开出的担保金额为合同价款的%（不高于10%）,即人民币元的履约保函原件。保函期限以壹年为期限根据工期每年到期后再续开下一年度的保函，可连续出具。</w:t>
      </w:r>
    </w:p>
    <w:p>
      <w:pPr>
        <w:tabs>
          <w:tab w:val="left" w:pos="420"/>
          <w:tab w:val="left" w:pos="630"/>
        </w:tabs>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kern w:val="0"/>
          <w:sz w:val="24"/>
          <w:szCs w:val="24"/>
          <w:highlight w:val="none"/>
        </w:rPr>
        <w:t>在检测人发出检测报告并经委托人确认后，应予以办理退回履约保函。</w:t>
      </w:r>
    </w:p>
    <w:p>
      <w:pPr>
        <w:pStyle w:val="5"/>
        <w:numPr>
          <w:ilvl w:val="0"/>
          <w:numId w:val="0"/>
        </w:numPr>
        <w:tabs>
          <w:tab w:val="clear" w:pos="1287"/>
        </w:tabs>
        <w:spacing w:line="640" w:lineRule="exact"/>
        <w:ind w:firstLine="120" w:firstLineChars="50"/>
        <w:rPr>
          <w:rFonts w:ascii="仿宋" w:hAnsi="仿宋" w:eastAsia="仿宋" w:cs="仿宋"/>
          <w:sz w:val="24"/>
          <w:szCs w:val="24"/>
          <w:highlight w:val="none"/>
        </w:rPr>
      </w:pPr>
      <w:bookmarkStart w:id="117" w:name="_Toc10627444"/>
      <w:bookmarkStart w:id="118" w:name="_Toc12986"/>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4. 违约责任</w:t>
      </w:r>
      <w:bookmarkEnd w:id="117"/>
      <w:bookmarkEnd w:id="118"/>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乙方经甲方书面催告后仍未按照合同约定时间提交检测报告，每逾期一天应按本合同暂定合同总价的5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向甲方支付违约金，迟延超过</w:t>
      </w:r>
      <w:r>
        <w:rPr>
          <w:rFonts w:hint="eastAsia" w:ascii="仿宋" w:hAnsi="仿宋" w:eastAsia="仿宋" w:cs="仿宋"/>
          <w:kern w:val="0"/>
          <w:sz w:val="24"/>
          <w:szCs w:val="24"/>
          <w:highlight w:val="none"/>
          <w:u w:val="single"/>
        </w:rPr>
        <w:t>10</w:t>
      </w:r>
      <w:r>
        <w:rPr>
          <w:rFonts w:hint="eastAsia" w:ascii="仿宋" w:hAnsi="仿宋" w:eastAsia="仿宋" w:cs="仿宋"/>
          <w:sz w:val="24"/>
          <w:szCs w:val="24"/>
          <w:highlight w:val="none"/>
        </w:rPr>
        <w:t>天的，甲方有权解除合同、不予支付任何检测费用，并有权将本项目另行委托其它检测机构。乙方除退还甲方已支付的所有款项外，还须按暂定合同总价的20%承担违约金，给甲方造成损失的还需承担赔偿责任。</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乙方未按合同约定或甲方要求的时间到达现场，每发生一次，乙方向甲方支付违约金人民币5000元；当甲方向乙方作出书面指示，乙方应按照甲方书面指示执行，乙方拒不执行，甲方有权暂停支付乙方进度款，直至乙方执行到位为止。同时，每发生一次，乙方向甲方支付违约金人民币5000元。</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安全方面的违约责任</w:t>
      </w:r>
    </w:p>
    <w:p>
      <w:pPr>
        <w:spacing w:beforeLines="50" w:line="64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由于乙方的检测工作不及时或测量资料不准确或分析、报告不及时而导致事故发生，给甲方造成损失的，乙方除赔偿甲方损失外，并向甲方支付本合同暂定合同总价</w:t>
      </w:r>
      <w:r>
        <w:rPr>
          <w:rFonts w:hint="eastAsia" w:ascii="仿宋" w:hAnsi="仿宋" w:eastAsia="仿宋" w:cs="仿宋"/>
          <w:sz w:val="24"/>
          <w:szCs w:val="24"/>
          <w:highlight w:val="none"/>
          <w:u w:val="single"/>
        </w:rPr>
        <w:t>20</w:t>
      </w:r>
      <w:r>
        <w:rPr>
          <w:rFonts w:hint="eastAsia" w:ascii="仿宋" w:hAnsi="仿宋" w:eastAsia="仿宋" w:cs="仿宋"/>
          <w:sz w:val="24"/>
          <w:szCs w:val="24"/>
          <w:highlight w:val="none"/>
        </w:rPr>
        <w:t>%的违约金。</w:t>
      </w:r>
    </w:p>
    <w:p>
      <w:pPr>
        <w:spacing w:beforeLines="50" w:line="64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 分包、转包方面的违约责任</w:t>
      </w:r>
    </w:p>
    <w:p>
      <w:pPr>
        <w:spacing w:beforeLines="50" w:line="64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乙方擅自分包或者转包项目的，甲方有权拒绝验收分包单位的</w:t>
      </w: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成果，并有权单方部分解除合同或全部解除合同，且要求乙方承担本合同暂定总价的</w:t>
      </w:r>
      <w:r>
        <w:rPr>
          <w:rFonts w:hint="eastAsia" w:ascii="仿宋" w:hAnsi="仿宋" w:eastAsia="仿宋" w:cs="仿宋"/>
          <w:sz w:val="24"/>
          <w:szCs w:val="24"/>
          <w:highlight w:val="none"/>
          <w:u w:val="single"/>
        </w:rPr>
        <w:t>5‰</w:t>
      </w:r>
      <w:r>
        <w:rPr>
          <w:rFonts w:hint="eastAsia" w:ascii="仿宋" w:hAnsi="仿宋" w:eastAsia="仿宋" w:cs="仿宋"/>
          <w:sz w:val="24"/>
          <w:szCs w:val="24"/>
          <w:highlight w:val="none"/>
        </w:rPr>
        <w:t>的违约金，若因此造成甲方损失还须赔偿相关损失。</w:t>
      </w:r>
    </w:p>
    <w:p>
      <w:pPr>
        <w:spacing w:beforeLines="50" w:line="640" w:lineRule="exact"/>
        <w:ind w:firstLine="360" w:firstLineChars="150"/>
        <w:rPr>
          <w:rFonts w:ascii="仿宋" w:hAnsi="仿宋" w:eastAsia="仿宋" w:cs="仿宋"/>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在技术服务过程中，乙方不得随意更换项目负责人，如需更换应书面征求甲方意见，甲方同意后方能更换。否则甲方有权终止合同，且乙方应向甲方支付合同暂定总价20%的违约金。乙方擅自更换人员或甲方书面要求更换不符合工作要求人员的，每更换一人次，乙方向甲方支付违约金人民币5000元。</w:t>
      </w:r>
    </w:p>
    <w:p>
      <w:pPr>
        <w:spacing w:beforeLines="50" w:line="64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发现乙方人员与施工单位串通，对不合格工程出具合格检测报告或结论，乙方应承担严重违约责任，甲方有权单方解除合同，且乙方应向甲方支付合同暂定总价20%的违约金。若因此造成甲方损失还须赔偿相关损失。</w:t>
      </w:r>
    </w:p>
    <w:p>
      <w:pPr>
        <w:pStyle w:val="4"/>
        <w:numPr>
          <w:ilvl w:val="0"/>
          <w:numId w:val="0"/>
        </w:numPr>
        <w:rPr>
          <w:rFonts w:ascii="仿宋" w:hAnsi="仿宋" w:eastAsia="仿宋" w:cs="仿宋"/>
          <w:b/>
          <w:sz w:val="24"/>
          <w:szCs w:val="24"/>
          <w:highlight w:val="none"/>
        </w:rPr>
      </w:pPr>
      <w:bookmarkStart w:id="119" w:name="_Toc10627445"/>
      <w:bookmarkStart w:id="120" w:name="_Toc16092"/>
      <w:r>
        <w:rPr>
          <w:rFonts w:hint="eastAsia" w:ascii="仿宋" w:hAnsi="仿宋" w:eastAsia="仿宋" w:cs="仿宋"/>
          <w:b/>
          <w:sz w:val="24"/>
          <w:szCs w:val="24"/>
          <w:highlight w:val="none"/>
        </w:rPr>
        <w:t>5. 支付</w:t>
      </w:r>
      <w:bookmarkEnd w:id="119"/>
      <w:bookmarkEnd w:id="120"/>
    </w:p>
    <w:p>
      <w:pPr>
        <w:pStyle w:val="5"/>
        <w:numPr>
          <w:ilvl w:val="0"/>
          <w:numId w:val="0"/>
        </w:numPr>
        <w:tabs>
          <w:tab w:val="clear" w:pos="1287"/>
        </w:tabs>
        <w:spacing w:line="640" w:lineRule="exact"/>
        <w:ind w:left="-69" w:leftChars="-34" w:hanging="2" w:hangingChars="1"/>
        <w:rPr>
          <w:rFonts w:ascii="仿宋" w:hAnsi="仿宋" w:eastAsia="仿宋" w:cs="仿宋"/>
          <w:sz w:val="24"/>
          <w:szCs w:val="24"/>
          <w:highlight w:val="none"/>
        </w:rPr>
      </w:pPr>
      <w:bookmarkStart w:id="121" w:name="_Toc10627446"/>
      <w:bookmarkStart w:id="122" w:name="_Toc19991"/>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5.2检测项目费用计算方式、金额</w:t>
      </w:r>
      <w:bookmarkEnd w:id="121"/>
      <w:bookmarkEnd w:id="122"/>
    </w:p>
    <w:p>
      <w:pPr>
        <w:adjustRightInd w:val="0"/>
        <w:snapToGrid w:val="0"/>
        <w:spacing w:line="640" w:lineRule="exact"/>
        <w:ind w:firstLine="600" w:firstLineChars="250"/>
        <w:outlineLvl w:val="0"/>
        <w:rPr>
          <w:rFonts w:ascii="仿宋" w:hAnsi="仿宋" w:eastAsia="仿宋" w:cs="仿宋"/>
          <w:sz w:val="24"/>
          <w:szCs w:val="24"/>
          <w:highlight w:val="none"/>
        </w:rPr>
      </w:pPr>
      <w:r>
        <w:rPr>
          <w:rFonts w:hint="eastAsia" w:ascii="仿宋" w:hAnsi="仿宋" w:eastAsia="仿宋" w:cs="仿宋"/>
          <w:sz w:val="24"/>
          <w:szCs w:val="24"/>
          <w:highlight w:val="none"/>
        </w:rPr>
        <w:t>5.2.1本合同检测项目费用的计算方式为：</w:t>
      </w:r>
    </w:p>
    <w:p>
      <w:pPr>
        <w:adjustRightInd w:val="0"/>
        <w:snapToGrid w:val="0"/>
        <w:spacing w:line="640" w:lineRule="exact"/>
        <w:ind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综合单价包干； □总价包干；□其它</w:t>
      </w:r>
    </w:p>
    <w:p>
      <w:pPr>
        <w:spacing w:line="640" w:lineRule="exact"/>
        <w:ind w:firstLine="600" w:firstLineChars="250"/>
        <w:outlineLvl w:val="0"/>
        <w:rPr>
          <w:rFonts w:ascii="仿宋" w:hAnsi="仿宋" w:eastAsia="仿宋" w:cs="仿宋"/>
          <w:sz w:val="24"/>
          <w:szCs w:val="24"/>
          <w:highlight w:val="none"/>
        </w:rPr>
      </w:pPr>
      <w:r>
        <w:rPr>
          <w:rFonts w:hint="eastAsia" w:ascii="仿宋" w:hAnsi="仿宋" w:eastAsia="仿宋" w:cs="仿宋"/>
          <w:sz w:val="24"/>
          <w:szCs w:val="24"/>
          <w:highlight w:val="none"/>
        </w:rPr>
        <w:t>5.2.2本项目合同单价：（项目较多按附件表格填写）</w:t>
      </w:r>
    </w:p>
    <w:p>
      <w:pPr>
        <w:spacing w:line="640" w:lineRule="exac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合同预算总价：￥</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元（人民币大写</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spacing w:line="640" w:lineRule="exac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结算总价=∑（合同单价×实际完成工作量）。实际完成工程量</w:t>
      </w:r>
      <w:r>
        <w:rPr>
          <w:rFonts w:ascii="仿宋" w:hAnsi="仿宋" w:eastAsia="仿宋" w:cs="仿宋"/>
          <w:sz w:val="24"/>
          <w:szCs w:val="24"/>
          <w:highlight w:val="none"/>
        </w:rPr>
        <w:t>以甲方批准且实际完成并经项目监理单位审核和甲方确认的合格工程量计算。若税金因政策因素的调整，含税合同总价调整方法为：已支付工程款+（原含税总价-已支付工程款）/（1+原税率）*（1+现行税率）=调整后含税总价（发包方已支付工程款的部分不做调整）。</w:t>
      </w:r>
    </w:p>
    <w:p>
      <w:pPr>
        <w:pStyle w:val="5"/>
        <w:numPr>
          <w:ilvl w:val="0"/>
          <w:numId w:val="0"/>
        </w:numPr>
        <w:tabs>
          <w:tab w:val="clear" w:pos="1287"/>
        </w:tabs>
        <w:spacing w:line="640" w:lineRule="exact"/>
        <w:ind w:left="567"/>
        <w:outlineLvl w:val="0"/>
        <w:rPr>
          <w:rFonts w:ascii="仿宋" w:hAnsi="仿宋" w:eastAsia="仿宋" w:cs="仿宋"/>
          <w:sz w:val="24"/>
          <w:szCs w:val="24"/>
          <w:highlight w:val="none"/>
        </w:rPr>
      </w:pPr>
      <w:bookmarkStart w:id="123" w:name="_Toc10627447"/>
      <w:bookmarkStart w:id="124" w:name="_Toc11444"/>
      <w:r>
        <w:rPr>
          <w:rFonts w:hint="eastAsia" w:ascii="仿宋" w:hAnsi="仿宋" w:eastAsia="仿宋" w:cs="仿宋"/>
          <w:sz w:val="24"/>
          <w:szCs w:val="24"/>
          <w:highlight w:val="none"/>
        </w:rPr>
        <w:t>5.3支付方式</w:t>
      </w:r>
      <w:bookmarkEnd w:id="123"/>
      <w:bookmarkEnd w:id="124"/>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经双方协商一致，双方约定本项目的检测费用的采用以下</w:t>
      </w:r>
      <w:r>
        <w:rPr>
          <w:rFonts w:hint="eastAsia" w:ascii="仿宋" w:hAnsi="仿宋" w:eastAsia="仿宋" w:cs="仿宋"/>
          <w:sz w:val="24"/>
          <w:szCs w:val="24"/>
          <w:highlight w:val="none"/>
          <w:u w:val="single"/>
          <w:lang w:val="en-US" w:eastAsia="zh-CN"/>
        </w:rPr>
        <w:t>方式四</w:t>
      </w:r>
      <w:r>
        <w:rPr>
          <w:rFonts w:hint="eastAsia" w:ascii="仿宋" w:hAnsi="仿宋" w:eastAsia="仿宋" w:cs="仿宋"/>
          <w:sz w:val="24"/>
          <w:szCs w:val="24"/>
          <w:highlight w:val="none"/>
        </w:rPr>
        <w:t>进行支付。</w:t>
      </w:r>
      <w:r>
        <w:rPr>
          <w:rFonts w:hint="eastAsia" w:ascii="仿宋" w:hAnsi="仿宋" w:eastAsia="仿宋" w:cs="仿宋"/>
          <w:sz w:val="24"/>
          <w:highlight w:val="none"/>
        </w:rPr>
        <w:t>乙方应按甲方的相关要求开具</w:t>
      </w:r>
      <w:r>
        <w:rPr>
          <w:rFonts w:hint="eastAsia" w:ascii="仿宋" w:hAnsi="仿宋" w:eastAsia="仿宋" w:cs="仿宋"/>
          <w:sz w:val="24"/>
          <w:highlight w:val="none"/>
          <w:lang w:val="en-US" w:eastAsia="zh-CN"/>
        </w:rPr>
        <w:t>并提交</w:t>
      </w:r>
      <w:r>
        <w:rPr>
          <w:rFonts w:hint="eastAsia" w:ascii="仿宋" w:hAnsi="仿宋" w:eastAsia="仿宋" w:cs="仿宋"/>
          <w:sz w:val="24"/>
          <w:highlight w:val="none"/>
        </w:rPr>
        <w:t>专用增值税发票</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否则甲方有权延迟付款，所造成的一切损失由乙方自行承担。</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方式一：</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合同签订生效后，在甲方领取全部检测报告时一次性向乙方支付全部检测费用。</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方式二：</w:t>
      </w:r>
    </w:p>
    <w:p>
      <w:pPr>
        <w:pStyle w:val="19"/>
        <w:spacing w:line="640" w:lineRule="exact"/>
        <w:ind w:firstLine="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按月结算，每月10号之前结清上月发生费用。</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方式三：</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1.合同签订生效后，甲方在30天内向乙方支付检测费用暂定总额的（不低于15％）作为预付款。</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2.乙方在完成检测报告后，向甲方送达或邮寄检测费用请款书，甲方应在30天内向乙方支付相关检测费用后领取检测报告。</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方式四：</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1.合同签订生效后，甲方在30天内向乙方支付检测费用暂定总额的</w:t>
      </w:r>
      <w:r>
        <w:rPr>
          <w:rFonts w:hint="eastAsia" w:ascii="仿宋" w:hAnsi="仿宋" w:eastAsia="仿宋" w:cs="仿宋"/>
          <w:sz w:val="24"/>
          <w:szCs w:val="24"/>
          <w:highlight w:val="none"/>
          <w:u w:val="single"/>
          <w:lang w:val="en-US" w:eastAsia="zh-CN"/>
        </w:rPr>
        <w:t>20%</w:t>
      </w:r>
      <w:r>
        <w:rPr>
          <w:rFonts w:hint="eastAsia" w:ascii="仿宋" w:hAnsi="仿宋" w:eastAsia="仿宋" w:cs="仿宋"/>
          <w:sz w:val="24"/>
          <w:szCs w:val="24"/>
          <w:highlight w:val="none"/>
        </w:rPr>
        <w:t>作为预付款。</w:t>
      </w:r>
      <w:r>
        <w:rPr>
          <w:rFonts w:hint="eastAsia" w:ascii="仿宋" w:hAnsi="仿宋" w:eastAsia="仿宋" w:cs="仿宋"/>
          <w:sz w:val="24"/>
          <w:szCs w:val="24"/>
          <w:highlight w:val="none"/>
          <w:lang w:val="en-US" w:eastAsia="zh-CN"/>
        </w:rPr>
        <w:t>预付款在第一次进度款扣回。</w:t>
      </w:r>
    </w:p>
    <w:p>
      <w:pPr>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2.进度款：每月支付一次检测费用，乙方完成各分项检测工作并提交符合要求的检测成果报告经监理单位及甲方审核通过后，乙方可向甲方申请该分项检测工作实际金额的</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0%（即实际工程量乘以经甲方审核的综合单价）作为本合同检测服务进度款（前期已付预付款转作甲方已付进度款），且累计支付不超过合同暂定总价的</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0%。</w:t>
      </w:r>
    </w:p>
    <w:p>
      <w:pPr>
        <w:keepNext w:val="0"/>
        <w:keepLines w:val="0"/>
        <w:pageBreakBefore w:val="0"/>
        <w:widowControl/>
        <w:kinsoku/>
        <w:wordWrap/>
        <w:overflowPunct/>
        <w:topLinePunct w:val="0"/>
        <w:bidi w:val="0"/>
        <w:snapToGrid/>
        <w:spacing w:line="560" w:lineRule="exact"/>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color w:val="auto"/>
          <w:sz w:val="24"/>
          <w:szCs w:val="24"/>
          <w:highlight w:val="none"/>
        </w:rPr>
        <w:t>本合同全部</w:t>
      </w:r>
      <w:r>
        <w:rPr>
          <w:rFonts w:hint="eastAsia" w:ascii="仿宋" w:hAnsi="仿宋" w:eastAsia="仿宋" w:cs="仿宋"/>
          <w:sz w:val="24"/>
          <w:szCs w:val="24"/>
          <w:highlight w:val="none"/>
          <w:lang w:val="en-US" w:eastAsia="zh-CN"/>
        </w:rPr>
        <w:t>检测技术</w:t>
      </w:r>
      <w:r>
        <w:rPr>
          <w:rFonts w:hint="eastAsia" w:ascii="仿宋" w:hAnsi="仿宋" w:eastAsia="仿宋" w:cs="仿宋"/>
          <w:color w:val="auto"/>
          <w:sz w:val="24"/>
          <w:szCs w:val="24"/>
          <w:highlight w:val="none"/>
        </w:rPr>
        <w:t>服务工作完成，乙方向甲方报送符合</w:t>
      </w:r>
      <w:r>
        <w:rPr>
          <w:rFonts w:hint="eastAsia" w:ascii="仿宋" w:hAnsi="仿宋" w:eastAsia="仿宋" w:cs="仿宋"/>
          <w:color w:val="auto"/>
          <w:sz w:val="24"/>
          <w:szCs w:val="24"/>
          <w:highlight w:val="none"/>
          <w:lang w:val="en-US" w:eastAsia="zh-CN"/>
        </w:rPr>
        <w:t>本合同约定的全部成果</w:t>
      </w:r>
      <w:r>
        <w:rPr>
          <w:rFonts w:hint="eastAsia" w:ascii="仿宋" w:hAnsi="仿宋" w:eastAsia="仿宋" w:cs="仿宋"/>
          <w:sz w:val="24"/>
          <w:szCs w:val="24"/>
          <w:highlight w:val="none"/>
          <w:lang w:val="en-US" w:eastAsia="zh-CN"/>
        </w:rPr>
        <w:t>（检测报告）</w:t>
      </w:r>
      <w:r>
        <w:rPr>
          <w:rFonts w:hint="eastAsia" w:ascii="仿宋" w:hAnsi="仿宋" w:eastAsia="仿宋" w:cs="仿宋"/>
          <w:color w:val="auto"/>
          <w:sz w:val="24"/>
          <w:szCs w:val="24"/>
          <w:highlight w:val="none"/>
        </w:rPr>
        <w:t>及完整的合同结算资料，经甲方授权委托的第三方审核单位、甲方，最终审定结算价款后，甲方应该在收到乙方款项申请手续并审核确认</w:t>
      </w:r>
      <w:r>
        <w:rPr>
          <w:rFonts w:hint="eastAsia" w:ascii="仿宋" w:hAnsi="仿宋" w:eastAsia="仿宋" w:cs="仿宋"/>
          <w:color w:val="auto"/>
          <w:sz w:val="24"/>
          <w:szCs w:val="24"/>
          <w:highlight w:val="none"/>
          <w:u w:val="none"/>
          <w:lang w:val="en-US" w:eastAsia="zh-CN"/>
        </w:rPr>
        <w:t>后</w:t>
      </w:r>
      <w:r>
        <w:rPr>
          <w:rFonts w:hint="eastAsia" w:ascii="仿宋" w:hAnsi="仿宋" w:eastAsia="仿宋" w:cs="仿宋"/>
          <w:color w:val="auto"/>
          <w:sz w:val="24"/>
          <w:szCs w:val="24"/>
          <w:highlight w:val="none"/>
        </w:rPr>
        <w:t>30天内付清结算余款给乙方。</w:t>
      </w:r>
    </w:p>
    <w:p>
      <w:pPr>
        <w:keepNext w:val="0"/>
        <w:keepLines w:val="0"/>
        <w:pageBreakBefore w:val="0"/>
        <w:widowControl/>
        <w:kinsoku/>
        <w:wordWrap/>
        <w:overflowPunct/>
        <w:topLinePunct w:val="0"/>
        <w:bidi w:val="0"/>
        <w:snapToGrid/>
        <w:spacing w:line="560" w:lineRule="exact"/>
        <w:ind w:firstLine="480" w:firstLineChars="200"/>
        <w:outlineLvl w:val="9"/>
        <w:rPr>
          <w:rFonts w:hint="default"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color w:val="auto"/>
          <w:sz w:val="24"/>
          <w:szCs w:val="24"/>
          <w:highlight w:val="none"/>
        </w:rPr>
        <w:t>乙方应在甲方付款前提供</w:t>
      </w:r>
      <w:r>
        <w:rPr>
          <w:rFonts w:hint="eastAsia" w:ascii="仿宋" w:hAnsi="仿宋" w:eastAsia="仿宋" w:cs="仿宋"/>
          <w:color w:val="auto"/>
          <w:sz w:val="24"/>
          <w:szCs w:val="24"/>
          <w:highlight w:val="none"/>
          <w:lang w:val="en-US" w:eastAsia="zh-CN"/>
        </w:rPr>
        <w:t>等额</w:t>
      </w:r>
      <w:r>
        <w:rPr>
          <w:rFonts w:hint="eastAsia" w:ascii="仿宋" w:hAnsi="仿宋" w:eastAsia="仿宋" w:cs="仿宋"/>
          <w:color w:val="auto"/>
          <w:sz w:val="24"/>
          <w:szCs w:val="24"/>
          <w:highlight w:val="none"/>
        </w:rPr>
        <w:t>合法有效的</w:t>
      </w:r>
      <w:r>
        <w:rPr>
          <w:rFonts w:hint="eastAsia" w:ascii="仿宋" w:hAnsi="仿宋" w:eastAsia="仿宋" w:cs="仿宋"/>
          <w:color w:val="auto"/>
          <w:sz w:val="24"/>
          <w:szCs w:val="24"/>
          <w:highlight w:val="none"/>
          <w:lang w:val="en-US" w:eastAsia="zh-CN"/>
        </w:rPr>
        <w:t>增值税专用</w:t>
      </w:r>
      <w:r>
        <w:rPr>
          <w:rFonts w:hint="eastAsia" w:ascii="仿宋" w:hAnsi="仿宋" w:eastAsia="仿宋" w:cs="仿宋"/>
          <w:color w:val="auto"/>
          <w:sz w:val="24"/>
          <w:szCs w:val="24"/>
          <w:highlight w:val="none"/>
        </w:rPr>
        <w:t>发票，否则付款时间顺延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造成的相关责任由乙方自行承担。</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方式五：</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1.每季度按实际完成的工程量支付，可支付累计完成工程量（不低于80％）。</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2.乙方在完成检测报告后，向甲方送达或邮寄检测费用请款书，甲方应在30天内向乙方支付剩余检测费用后领取检测报告。</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方式六：</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其它支付方式：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w:t>
      </w:r>
    </w:p>
    <w:p>
      <w:pPr>
        <w:pStyle w:val="4"/>
        <w:numPr>
          <w:ilvl w:val="0"/>
          <w:numId w:val="0"/>
        </w:numPr>
        <w:tabs>
          <w:tab w:val="clear" w:pos="576"/>
        </w:tabs>
        <w:spacing w:line="640" w:lineRule="exact"/>
        <w:rPr>
          <w:rFonts w:ascii="仿宋" w:hAnsi="仿宋" w:eastAsia="仿宋" w:cs="仿宋"/>
          <w:sz w:val="24"/>
          <w:szCs w:val="24"/>
          <w:highlight w:val="none"/>
        </w:rPr>
      </w:pPr>
      <w:bookmarkStart w:id="125" w:name="_Toc10627448"/>
      <w:bookmarkStart w:id="126" w:name="_Toc13918"/>
      <w:r>
        <w:rPr>
          <w:rFonts w:hint="eastAsia" w:ascii="仿宋" w:hAnsi="仿宋" w:eastAsia="仿宋" w:cs="仿宋"/>
          <w:sz w:val="24"/>
          <w:szCs w:val="24"/>
          <w:highlight w:val="none"/>
        </w:rPr>
        <w:t>6. 合同变更、解除与终止</w:t>
      </w:r>
      <w:bookmarkEnd w:id="125"/>
      <w:bookmarkEnd w:id="126"/>
    </w:p>
    <w:p>
      <w:pPr>
        <w:pStyle w:val="5"/>
        <w:numPr>
          <w:ilvl w:val="0"/>
          <w:numId w:val="0"/>
        </w:numPr>
        <w:tabs>
          <w:tab w:val="clear" w:pos="1287"/>
        </w:tabs>
        <w:spacing w:line="640" w:lineRule="exact"/>
        <w:ind w:left="567"/>
        <w:outlineLvl w:val="0"/>
        <w:rPr>
          <w:rFonts w:ascii="仿宋" w:hAnsi="仿宋" w:eastAsia="仿宋" w:cs="仿宋"/>
          <w:sz w:val="24"/>
          <w:szCs w:val="24"/>
          <w:highlight w:val="none"/>
        </w:rPr>
      </w:pPr>
      <w:bookmarkStart w:id="127" w:name="_Toc2446"/>
      <w:bookmarkStart w:id="128" w:name="_Toc10627449"/>
      <w:r>
        <w:rPr>
          <w:rFonts w:hint="eastAsia" w:ascii="仿宋" w:hAnsi="仿宋" w:eastAsia="仿宋" w:cs="仿宋"/>
          <w:sz w:val="24"/>
          <w:szCs w:val="24"/>
          <w:highlight w:val="none"/>
        </w:rPr>
        <w:t>6.1 合同变更</w:t>
      </w:r>
      <w:bookmarkEnd w:id="127"/>
      <w:bookmarkEnd w:id="128"/>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6.1.2 除不可抗力外，因非乙方原因导致本合同履行新增工程量时，新增工程量的检测费用按下列方法确定：</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工程量的确定方法：</w:t>
      </w:r>
      <w:r>
        <w:rPr>
          <w:rFonts w:hint="eastAsia" w:ascii="仿宋" w:hAnsi="仿宋" w:eastAsia="仿宋" w:cs="仿宋"/>
          <w:sz w:val="24"/>
          <w:szCs w:val="24"/>
          <w:highlight w:val="none"/>
          <w:u w:val="single"/>
        </w:rPr>
        <w:t>按监理、甲方委托的第三方审核单位、及甲方审核确认的实际工程量</w:t>
      </w:r>
      <w:r>
        <w:rPr>
          <w:rFonts w:hint="eastAsia" w:ascii="仿宋" w:hAnsi="仿宋" w:eastAsia="仿宋" w:cs="仿宋"/>
          <w:sz w:val="24"/>
          <w:szCs w:val="24"/>
          <w:highlight w:val="none"/>
        </w:rPr>
        <w:t>；</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价格的确定方法采用以下</w:t>
      </w:r>
      <w:r>
        <w:rPr>
          <w:rFonts w:hint="eastAsia" w:ascii="仿宋" w:hAnsi="仿宋" w:eastAsia="仿宋" w:cs="仿宋"/>
          <w:sz w:val="24"/>
          <w:szCs w:val="24"/>
          <w:highlight w:val="none"/>
          <w:u w:val="single"/>
        </w:rPr>
        <w:t>方式一</w:t>
      </w:r>
      <w:r>
        <w:rPr>
          <w:rFonts w:hint="eastAsia" w:ascii="仿宋" w:hAnsi="仿宋" w:eastAsia="仿宋" w:cs="仿宋"/>
          <w:sz w:val="24"/>
          <w:szCs w:val="24"/>
          <w:highlight w:val="none"/>
        </w:rPr>
        <w:t xml:space="preserve"> ：</w:t>
      </w:r>
    </w:p>
    <w:p>
      <w:pPr>
        <w:autoSpaceDE w:val="0"/>
        <w:autoSpaceDN w:val="0"/>
        <w:adjustRightInd w:val="0"/>
        <w:spacing w:line="560" w:lineRule="exact"/>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方式一：综合单价包干。</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u w:val="single"/>
        </w:rPr>
        <w:t>新增综合单价按《工程勘察设计收费标准》 (计价格[2002]10号)</w:t>
      </w:r>
      <w:r>
        <w:rPr>
          <w:rFonts w:hint="eastAsia" w:ascii="仿宋" w:hAnsi="仿宋" w:eastAsia="仿宋" w:cs="仿宋"/>
          <w:sz w:val="24"/>
          <w:szCs w:val="24"/>
          <w:highlight w:val="none"/>
          <w:u w:val="single"/>
          <w:lang w:val="en-US" w:eastAsia="zh-CN"/>
        </w:rPr>
        <w:t>指导价乘以下浮率计算，下浮率：基本下浮率</w:t>
      </w:r>
      <w:r>
        <w:rPr>
          <w:rFonts w:hint="eastAsia" w:ascii="仿宋" w:hAnsi="仿宋" w:eastAsia="仿宋" w:cs="仿宋"/>
          <w:sz w:val="24"/>
          <w:szCs w:val="24"/>
          <w:highlight w:val="none"/>
          <w:u w:val="none"/>
          <w:lang w:val="en-US" w:eastAsia="zh-CN"/>
        </w:rPr>
        <w:t>25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X</w:t>
      </w:r>
      <w:r>
        <w:rPr>
          <w:rFonts w:hint="eastAsia" w:ascii="仿宋" w:hAnsi="仿宋" w:eastAsia="仿宋" w:cs="仿宋"/>
          <w:sz w:val="24"/>
          <w:szCs w:val="24"/>
          <w:highlight w:val="none"/>
          <w:u w:val="single"/>
        </w:rPr>
        <w:t>（1-投标下浮率），；以上收费标准没有的，按照《关于印发&lt;广东省房屋建筑和市政工程质量安全检测收费指导价（第一批）&gt;和&lt;广东省既有房屋建筑安全性鉴定收费指导价&gt;的通知》（粤建检协[2015]8号）</w:t>
      </w:r>
      <w:r>
        <w:rPr>
          <w:rFonts w:hint="eastAsia" w:ascii="仿宋" w:hAnsi="仿宋" w:eastAsia="仿宋" w:cs="仿宋"/>
          <w:sz w:val="24"/>
          <w:szCs w:val="24"/>
          <w:highlight w:val="none"/>
          <w:u w:val="single"/>
          <w:lang w:val="en-US" w:eastAsia="zh-CN"/>
        </w:rPr>
        <w:t>指导价乘以下浮率计算，下浮率：基本下浮率</w:t>
      </w:r>
      <w:r>
        <w:rPr>
          <w:rFonts w:hint="eastAsia" w:ascii="仿宋" w:hAnsi="仿宋" w:eastAsia="仿宋" w:cs="仿宋"/>
          <w:sz w:val="24"/>
          <w:szCs w:val="24"/>
          <w:highlight w:val="none"/>
          <w:u w:val="none"/>
          <w:lang w:val="en-US" w:eastAsia="zh-CN"/>
        </w:rPr>
        <w:t>25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X</w:t>
      </w:r>
      <w:r>
        <w:rPr>
          <w:rFonts w:hint="eastAsia" w:ascii="仿宋" w:hAnsi="仿宋" w:eastAsia="仿宋" w:cs="仿宋"/>
          <w:sz w:val="24"/>
          <w:szCs w:val="24"/>
          <w:highlight w:val="none"/>
          <w:u w:val="single"/>
        </w:rPr>
        <w:t>（1-投标下浮率）。如相关收费标准没有的项目，其计价方式则参考市场价格收费，以招标人审定为准。</w:t>
      </w:r>
    </w:p>
    <w:p>
      <w:pPr>
        <w:spacing w:line="640" w:lineRule="exact"/>
        <w:ind w:firstLine="480" w:firstLineChars="20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方式二：总价包干</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方式三：其它</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6.1.4因工程规模、服务范围及工作内容的变化等导致乙方的工作量增减时，检测费用的调整方法：</w:t>
      </w:r>
      <w:r>
        <w:rPr>
          <w:rFonts w:hint="eastAsia" w:ascii="仿宋" w:hAnsi="仿宋" w:eastAsia="仿宋" w:cs="仿宋"/>
          <w:sz w:val="24"/>
          <w:szCs w:val="24"/>
          <w:highlight w:val="none"/>
          <w:u w:val="single"/>
        </w:rPr>
        <w:t>单价不调整，工程量按实结算</w:t>
      </w:r>
      <w:r>
        <w:rPr>
          <w:rFonts w:hint="eastAsia" w:ascii="仿宋" w:hAnsi="仿宋" w:eastAsia="仿宋" w:cs="仿宋"/>
          <w:sz w:val="24"/>
          <w:szCs w:val="24"/>
          <w:highlight w:val="none"/>
        </w:rPr>
        <w:t>。</w:t>
      </w:r>
    </w:p>
    <w:p>
      <w:pPr>
        <w:pStyle w:val="18"/>
        <w:rPr>
          <w:rFonts w:ascii="仿宋" w:hAnsi="仿宋" w:eastAsia="仿宋" w:cs="仿宋"/>
          <w:highlight w:val="none"/>
        </w:rPr>
      </w:pPr>
    </w:p>
    <w:p>
      <w:pPr>
        <w:pStyle w:val="18"/>
        <w:outlineLvl w:val="0"/>
        <w:rPr>
          <w:rFonts w:eastAsia="仿宋"/>
          <w:highlight w:val="none"/>
        </w:rPr>
      </w:pPr>
      <w:r>
        <w:rPr>
          <w:rFonts w:hint="eastAsia" w:ascii="仿宋" w:hAnsi="仿宋" w:eastAsia="仿宋" w:cs="仿宋"/>
          <w:highlight w:val="none"/>
          <w:lang w:val="en-US" w:eastAsia="zh-CN"/>
        </w:rPr>
        <w:t>6.2合同解除</w:t>
      </w:r>
    </w:p>
    <w:p>
      <w:pPr>
        <w:pStyle w:val="18"/>
        <w:spacing w:line="360" w:lineRule="auto"/>
        <w:rPr>
          <w:highlight w:val="none"/>
        </w:rPr>
      </w:pPr>
      <w:r>
        <w:rPr>
          <w:rFonts w:hint="eastAsia" w:ascii="仿宋" w:hAnsi="仿宋" w:eastAsia="仿宋" w:cs="仿宋"/>
          <w:kern w:val="2"/>
          <w:highlight w:val="none"/>
          <w:lang w:val="en-US" w:eastAsia="zh-CN"/>
        </w:rPr>
        <w:t>6.2.3 由于火灾、台风、疫情、疫情引起的政府管制等不能预见、不能避免和不能克服的自然原因或社会原因，致使本合同不能履行或者不能完全履行时，遇到上述不可抗力事件的一方，应立即书面通知合同另一方，并应在不可抗力事件发生后十五天内，向合同另一方提供不可抗力事件发生的相关证明文件。由合同各方按事件对履行合同影响的程度协商决定是否解除合同、部分或全部免除履行合同的责任、或者延期履行合同。遭受不可抗力的一方未履行上述义务的，不能就因此增加的损失免除其违约责任。</w:t>
      </w:r>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29" w:name="_Toc10627451"/>
      <w:bookmarkStart w:id="130" w:name="_Toc23907"/>
      <w:r>
        <w:rPr>
          <w:rFonts w:hint="eastAsia" w:ascii="仿宋" w:hAnsi="仿宋" w:eastAsia="仿宋" w:cs="仿宋"/>
          <w:sz w:val="24"/>
          <w:szCs w:val="24"/>
          <w:highlight w:val="none"/>
        </w:rPr>
        <w:t>7. 争议解决</w:t>
      </w:r>
      <w:bookmarkEnd w:id="129"/>
      <w:bookmarkEnd w:id="130"/>
    </w:p>
    <w:p>
      <w:pPr>
        <w:pStyle w:val="5"/>
        <w:numPr>
          <w:ilvl w:val="0"/>
          <w:numId w:val="0"/>
        </w:numPr>
        <w:tabs>
          <w:tab w:val="clear" w:pos="1287"/>
        </w:tabs>
        <w:spacing w:line="640" w:lineRule="exact"/>
        <w:ind w:left="567"/>
        <w:outlineLvl w:val="0"/>
        <w:rPr>
          <w:rFonts w:ascii="仿宋" w:hAnsi="仿宋" w:eastAsia="仿宋" w:cs="仿宋"/>
          <w:sz w:val="24"/>
          <w:szCs w:val="24"/>
          <w:highlight w:val="none"/>
        </w:rPr>
      </w:pPr>
      <w:bookmarkStart w:id="131" w:name="_Toc10627452"/>
      <w:bookmarkStart w:id="132" w:name="_Toc24552"/>
      <w:r>
        <w:rPr>
          <w:rFonts w:hint="eastAsia" w:ascii="仿宋" w:hAnsi="仿宋" w:eastAsia="仿宋" w:cs="仿宋"/>
          <w:sz w:val="24"/>
          <w:szCs w:val="24"/>
          <w:highlight w:val="none"/>
        </w:rPr>
        <w:t>7.2 仲裁或诉讼</w:t>
      </w:r>
      <w:bookmarkEnd w:id="131"/>
      <w:bookmarkEnd w:id="132"/>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合同争议的最终解决方式为下列第</w:t>
      </w:r>
      <w:r>
        <w:rPr>
          <w:rFonts w:hint="eastAsia" w:ascii="仿宋" w:hAnsi="仿宋" w:eastAsia="仿宋" w:cs="仿宋"/>
          <w:sz w:val="24"/>
          <w:szCs w:val="24"/>
          <w:highlight w:val="none"/>
          <w:u w:val="single"/>
        </w:rPr>
        <w:t>（2）</w:t>
      </w:r>
      <w:r>
        <w:rPr>
          <w:rFonts w:hint="eastAsia" w:ascii="仿宋" w:hAnsi="仿宋" w:eastAsia="仿宋" w:cs="仿宋"/>
          <w:sz w:val="24"/>
          <w:szCs w:val="24"/>
          <w:highlight w:val="none"/>
        </w:rPr>
        <w:t>种方式：</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（1）提请中国广州仲裁委员会进行仲裁。</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（2）向</w:t>
      </w:r>
      <w:r>
        <w:rPr>
          <w:rFonts w:hint="eastAsia" w:ascii="仿宋" w:hAnsi="仿宋" w:eastAsia="仿宋" w:cs="仿宋"/>
          <w:sz w:val="24"/>
          <w:szCs w:val="24"/>
          <w:highlight w:val="none"/>
          <w:u w:val="single"/>
        </w:rPr>
        <w:t>项目所在地</w:t>
      </w:r>
      <w:r>
        <w:rPr>
          <w:rFonts w:hint="eastAsia" w:ascii="仿宋" w:hAnsi="仿宋" w:eastAsia="仿宋" w:cs="仿宋"/>
          <w:sz w:val="24"/>
          <w:szCs w:val="24"/>
          <w:highlight w:val="none"/>
        </w:rPr>
        <w:t>人民法院提起诉讼。</w:t>
      </w:r>
      <w:bookmarkStart w:id="133" w:name="_Toc10627453"/>
    </w:p>
    <w:p>
      <w:pPr>
        <w:spacing w:line="640" w:lineRule="exact"/>
        <w:ind w:firstLine="482" w:firstLineChars="200"/>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8. 其它</w:t>
      </w:r>
      <w:bookmarkEnd w:id="133"/>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34" w:name="_Toc27579"/>
      <w:bookmarkStart w:id="135" w:name="_Toc10627454"/>
      <w:r>
        <w:rPr>
          <w:rFonts w:hint="eastAsia" w:ascii="仿宋" w:hAnsi="仿宋" w:eastAsia="仿宋" w:cs="仿宋"/>
          <w:sz w:val="24"/>
          <w:szCs w:val="24"/>
          <w:highlight w:val="none"/>
        </w:rPr>
        <w:t>8.1保密</w:t>
      </w:r>
      <w:bookmarkEnd w:id="134"/>
      <w:bookmarkEnd w:id="135"/>
    </w:p>
    <w:p>
      <w:pPr>
        <w:spacing w:line="360" w:lineRule="auto"/>
        <w:ind w:left="420" w:leftChars="200"/>
        <w:jc w:val="left"/>
        <w:rPr>
          <w:rFonts w:ascii="仿宋" w:hAnsi="仿宋" w:eastAsia="仿宋" w:cs="仿宋"/>
          <w:sz w:val="24"/>
          <w:szCs w:val="28"/>
          <w:highlight w:val="none"/>
        </w:rPr>
      </w:pPr>
      <w:r>
        <w:rPr>
          <w:rFonts w:hint="eastAsia" w:ascii="仿宋" w:hAnsi="仿宋" w:eastAsia="仿宋" w:cs="仿宋"/>
          <w:sz w:val="24"/>
          <w:szCs w:val="28"/>
          <w:highlight w:val="none"/>
        </w:rPr>
        <w:t>8.1.1.在本合同订立前、履行中及终止后，未经合同另一方书面同意，任何一方对本合同和各方相互提供的资料、信息(包括但不限于商业秘密、技术资料、图纸、数据、以及与业务有关的客户的信息及其他信息等)负保密责任。</w:t>
      </w:r>
    </w:p>
    <w:p>
      <w:pPr>
        <w:spacing w:line="360" w:lineRule="auto"/>
        <w:ind w:left="420" w:leftChars="200"/>
        <w:jc w:val="left"/>
        <w:rPr>
          <w:rFonts w:ascii="仿宋" w:hAnsi="仿宋" w:eastAsia="仿宋" w:cs="仿宋"/>
          <w:sz w:val="24"/>
          <w:szCs w:val="28"/>
          <w:highlight w:val="none"/>
        </w:rPr>
      </w:pPr>
      <w:r>
        <w:rPr>
          <w:rFonts w:hint="eastAsia" w:ascii="仿宋" w:hAnsi="仿宋" w:eastAsia="仿宋" w:cs="仿宋"/>
          <w:sz w:val="24"/>
          <w:szCs w:val="28"/>
          <w:highlight w:val="none"/>
        </w:rPr>
        <w:t>8.1.2.一方违反保密条款第8.1.1条约定导致合同另一方遭受损失或不利影响的，责任方应按合同价款的10％向合同另一方支付赔偿金，赔偿金不足以赔偿合同另一方损失的，应按合同另一方的实际损失赔偿。</w:t>
      </w:r>
    </w:p>
    <w:p>
      <w:pPr>
        <w:adjustRightInd w:val="0"/>
        <w:snapToGri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highlight w:val="none"/>
        </w:rPr>
        <w:t>8.1.3.保密条款具有独立性，不受本合同的终止或解除的影响</w:t>
      </w:r>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36" w:name="_Toc10627455"/>
      <w:bookmarkStart w:id="137" w:name="_Toc9677"/>
      <w:r>
        <w:rPr>
          <w:rFonts w:hint="eastAsia" w:ascii="仿宋" w:hAnsi="仿宋" w:eastAsia="仿宋" w:cs="仿宋"/>
          <w:sz w:val="24"/>
          <w:szCs w:val="24"/>
          <w:highlight w:val="none"/>
        </w:rPr>
        <w:t>8.2通知与送达</w:t>
      </w:r>
      <w:bookmarkEnd w:id="136"/>
      <w:bookmarkEnd w:id="137"/>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8.2.1任何一方与合同有关的通知、指示、要求、决定等，均应在</w:t>
      </w:r>
      <w:r>
        <w:rPr>
          <w:rFonts w:hint="eastAsia" w:ascii="仿宋" w:hAnsi="仿宋" w:eastAsia="仿宋" w:cs="仿宋"/>
          <w:sz w:val="24"/>
          <w:szCs w:val="24"/>
          <w:highlight w:val="none"/>
          <w:u w:val="single"/>
        </w:rPr>
        <w:t>3</w:t>
      </w:r>
      <w:r>
        <w:rPr>
          <w:rFonts w:hint="eastAsia" w:ascii="仿宋" w:hAnsi="仿宋" w:eastAsia="仿宋" w:cs="仿宋"/>
          <w:sz w:val="24"/>
          <w:szCs w:val="24"/>
          <w:highlight w:val="none"/>
        </w:rPr>
        <w:t>天内送达对方指定的接收人和送达地点。</w:t>
      </w:r>
    </w:p>
    <w:p>
      <w:pPr>
        <w:pStyle w:val="78"/>
        <w:spacing w:line="360" w:lineRule="auto"/>
        <w:rPr>
          <w:rFonts w:ascii="仿宋" w:hAnsi="仿宋" w:eastAsia="仿宋" w:cs="仿宋"/>
          <w:color w:val="auto"/>
          <w:kern w:val="2"/>
          <w:highlight w:val="none"/>
        </w:rPr>
      </w:pPr>
      <w:r>
        <w:rPr>
          <w:rFonts w:hint="eastAsia" w:ascii="仿宋" w:hAnsi="仿宋" w:eastAsia="仿宋" w:cs="仿宋"/>
          <w:color w:val="auto"/>
          <w:kern w:val="2"/>
          <w:highlight w:val="none"/>
        </w:rPr>
        <w:t>8.2.2甲方指定的送达接收人：</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rPr>
        <w:t>，送达地点：</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rPr>
        <w:t>，电子邮箱：</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rPr>
        <w:t>。</w:t>
      </w:r>
    </w:p>
    <w:p>
      <w:pPr>
        <w:pStyle w:val="98"/>
        <w:spacing w:line="360" w:lineRule="auto"/>
        <w:rPr>
          <w:rFonts w:ascii="仿宋" w:hAnsi="仿宋" w:eastAsia="仿宋" w:cs="仿宋"/>
          <w:kern w:val="2"/>
          <w:highlight w:val="none"/>
        </w:rPr>
      </w:pPr>
      <w:r>
        <w:rPr>
          <w:rFonts w:hint="eastAsia" w:ascii="仿宋" w:hAnsi="仿宋" w:eastAsia="仿宋" w:cs="仿宋"/>
          <w:kern w:val="2"/>
          <w:highlight w:val="none"/>
        </w:rPr>
        <w:t>8.2.3乙方指定的送达接收人：</w:t>
      </w:r>
      <w:r>
        <w:rPr>
          <w:rFonts w:hint="eastAsia" w:ascii="仿宋" w:hAnsi="仿宋" w:eastAsia="仿宋" w:cs="仿宋"/>
          <w:kern w:val="2"/>
          <w:highlight w:val="none"/>
          <w:lang w:val="en-US" w:eastAsia="zh-CN"/>
        </w:rPr>
        <w:t xml:space="preserve">   </w:t>
      </w:r>
      <w:r>
        <w:rPr>
          <w:rFonts w:hint="eastAsia" w:ascii="仿宋" w:hAnsi="仿宋" w:eastAsia="仿宋" w:cs="仿宋"/>
          <w:kern w:val="2"/>
          <w:highlight w:val="none"/>
        </w:rPr>
        <w:t>，送达地点：</w:t>
      </w:r>
      <w:r>
        <w:rPr>
          <w:rFonts w:hint="eastAsia" w:ascii="仿宋" w:hAnsi="仿宋" w:eastAsia="仿宋" w:cs="仿宋"/>
          <w:kern w:val="2"/>
          <w:highlight w:val="none"/>
          <w:lang w:val="en-US" w:eastAsia="zh-CN"/>
        </w:rPr>
        <w:t xml:space="preserve">       </w:t>
      </w:r>
      <w:r>
        <w:rPr>
          <w:rFonts w:hint="eastAsia" w:ascii="仿宋" w:hAnsi="仿宋" w:eastAsia="仿宋" w:cs="仿宋"/>
          <w:kern w:val="2"/>
          <w:highlight w:val="none"/>
        </w:rPr>
        <w:t>，电子邮箱：</w:t>
      </w:r>
      <w:r>
        <w:rPr>
          <w:rFonts w:hint="eastAsia" w:ascii="仿宋" w:hAnsi="仿宋" w:eastAsia="仿宋" w:cs="仿宋"/>
          <w:kern w:val="2"/>
          <w:highlight w:val="none"/>
          <w:lang w:val="en-US" w:eastAsia="zh-CN"/>
        </w:rPr>
        <w:t xml:space="preserve">      </w:t>
      </w:r>
      <w:r>
        <w:rPr>
          <w:rFonts w:hint="eastAsia" w:ascii="仿宋" w:hAnsi="仿宋" w:eastAsia="仿宋" w:cs="仿宋"/>
          <w:kern w:val="2"/>
          <w:highlight w:val="none"/>
        </w:rPr>
        <w:t>。</w:t>
      </w:r>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38" w:name="_Toc22506"/>
      <w:bookmarkStart w:id="139" w:name="_Toc10627456"/>
      <w:r>
        <w:rPr>
          <w:rFonts w:hint="eastAsia" w:ascii="仿宋" w:hAnsi="仿宋" w:eastAsia="仿宋" w:cs="仿宋"/>
          <w:sz w:val="24"/>
          <w:szCs w:val="24"/>
          <w:highlight w:val="none"/>
        </w:rPr>
        <w:t>8.3知识产权</w:t>
      </w:r>
      <w:bookmarkEnd w:id="138"/>
      <w:bookmarkEnd w:id="139"/>
    </w:p>
    <w:p>
      <w:pPr>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甲方提供给乙方的图纸、甲方为实施工程自行编制或委托编制的技术规范以及反映甲方要求的或其他类似性质文件的著作权属于</w:t>
      </w:r>
      <w:r>
        <w:rPr>
          <w:rFonts w:hint="eastAsia" w:ascii="仿宋" w:hAnsi="仿宋" w:eastAsia="仿宋" w:cs="仿宋"/>
          <w:sz w:val="24"/>
          <w:szCs w:val="24"/>
          <w:highlight w:val="none"/>
          <w:u w:val="single"/>
        </w:rPr>
        <w:t>甲方所有</w:t>
      </w:r>
      <w:r>
        <w:rPr>
          <w:rFonts w:hint="eastAsia" w:ascii="仿宋" w:hAnsi="仿宋" w:eastAsia="仿宋" w:cs="仿宋"/>
          <w:sz w:val="24"/>
          <w:szCs w:val="24"/>
          <w:highlight w:val="none"/>
        </w:rPr>
        <w:t>。</w:t>
      </w:r>
    </w:p>
    <w:p>
      <w:pPr>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乙方为履行本合同约定而编制的成果文件，其著作权属于</w:t>
      </w:r>
      <w:r>
        <w:rPr>
          <w:rFonts w:hint="eastAsia" w:ascii="仿宋" w:hAnsi="仿宋" w:eastAsia="仿宋" w:cs="仿宋"/>
          <w:sz w:val="24"/>
          <w:szCs w:val="24"/>
          <w:highlight w:val="none"/>
          <w:u w:val="single"/>
        </w:rPr>
        <w:t>甲方所有</w:t>
      </w:r>
      <w:r>
        <w:rPr>
          <w:rFonts w:hint="eastAsia" w:ascii="仿宋" w:hAnsi="仿宋" w:eastAsia="仿宋" w:cs="仿宋"/>
          <w:sz w:val="24"/>
          <w:szCs w:val="24"/>
          <w:highlight w:val="none"/>
        </w:rPr>
        <w:t>。</w:t>
      </w:r>
    </w:p>
    <w:p>
      <w:pPr>
        <w:pStyle w:val="4"/>
        <w:numPr>
          <w:ilvl w:val="0"/>
          <w:numId w:val="0"/>
        </w:numPr>
        <w:tabs>
          <w:tab w:val="clear" w:pos="576"/>
        </w:tabs>
        <w:spacing w:line="640" w:lineRule="exact"/>
        <w:rPr>
          <w:rFonts w:ascii="仿宋" w:hAnsi="仿宋" w:eastAsia="仿宋" w:cs="仿宋"/>
          <w:b/>
          <w:sz w:val="24"/>
          <w:szCs w:val="24"/>
          <w:highlight w:val="none"/>
        </w:rPr>
      </w:pPr>
      <w:bookmarkStart w:id="140" w:name="_Toc10627457"/>
      <w:bookmarkStart w:id="141" w:name="_Toc30151"/>
      <w:r>
        <w:rPr>
          <w:rFonts w:hint="eastAsia" w:ascii="仿宋" w:hAnsi="仿宋" w:eastAsia="仿宋" w:cs="仿宋"/>
          <w:b/>
          <w:sz w:val="24"/>
          <w:szCs w:val="24"/>
          <w:highlight w:val="none"/>
        </w:rPr>
        <w:t>9. 补充条款</w:t>
      </w:r>
      <w:bookmarkEnd w:id="140"/>
      <w:bookmarkEnd w:id="141"/>
    </w:p>
    <w:p>
      <w:pPr>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1.当甲方对检验检测报告有异议时，应在收到报告后及时提出，乙方须及时处理。</w:t>
      </w:r>
    </w:p>
    <w:p>
      <w:pPr>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2.本合同未尽事宜，由双方当事人及时协商签订补充协议，补充协议为本合同组成部分，与合同具有同等法律效力。</w:t>
      </w:r>
    </w:p>
    <w:p>
      <w:pPr>
        <w:pStyle w:val="3"/>
        <w:rPr>
          <w:rFonts w:ascii="仿宋" w:hAnsi="仿宋" w:eastAsia="仿宋" w:cs="仿宋"/>
          <w:highlight w:val="none"/>
        </w:rPr>
      </w:pPr>
      <w:bookmarkStart w:id="142" w:name="_Toc10627458"/>
    </w:p>
    <w:p>
      <w:pPr>
        <w:rPr>
          <w:rFonts w:ascii="仿宋" w:hAnsi="仿宋" w:eastAsia="仿宋" w:cs="仿宋"/>
          <w:highlight w:val="none"/>
        </w:rPr>
      </w:pPr>
    </w:p>
    <w:p>
      <w:pPr>
        <w:pStyle w:val="1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rPr>
          <w:rFonts w:hint="eastAsia" w:ascii="仿宋" w:hAnsi="仿宋" w:eastAsia="仿宋" w:cs="仿宋"/>
          <w:highlight w:val="none"/>
        </w:rPr>
      </w:pPr>
      <w:bookmarkStart w:id="143" w:name="_Toc16384"/>
      <w:r>
        <w:rPr>
          <w:rFonts w:hint="eastAsia" w:ascii="仿宋" w:hAnsi="仿宋" w:eastAsia="仿宋" w:cs="仿宋"/>
          <w:highlight w:val="none"/>
        </w:rPr>
        <w:br w:type="page"/>
      </w:r>
    </w:p>
    <w:p>
      <w:pPr>
        <w:pStyle w:val="3"/>
        <w:rPr>
          <w:rFonts w:ascii="仿宋" w:hAnsi="仿宋" w:eastAsia="仿宋" w:cs="仿宋"/>
          <w:highlight w:val="none"/>
        </w:rPr>
      </w:pPr>
      <w:r>
        <w:rPr>
          <w:rFonts w:hint="eastAsia" w:ascii="仿宋" w:hAnsi="仿宋" w:eastAsia="仿宋" w:cs="仿宋"/>
          <w:highlight w:val="none"/>
        </w:rPr>
        <w:t>附</w:t>
      </w:r>
      <w:bookmarkEnd w:id="142"/>
      <w:bookmarkEnd w:id="143"/>
      <w:r>
        <w:rPr>
          <w:rFonts w:hint="eastAsia" w:ascii="仿宋" w:hAnsi="仿宋" w:eastAsia="仿宋" w:cs="仿宋"/>
          <w:highlight w:val="none"/>
        </w:rPr>
        <w:t>件1</w:t>
      </w:r>
    </w:p>
    <w:p>
      <w:pPr>
        <w:pStyle w:val="3"/>
        <w:ind w:firstLine="2891" w:firstLineChars="800"/>
        <w:rPr>
          <w:rFonts w:ascii="仿宋" w:hAnsi="仿宋" w:eastAsia="仿宋" w:cs="Times New Roman"/>
          <w:b/>
          <w:bCs/>
          <w:sz w:val="36"/>
          <w:szCs w:val="36"/>
          <w:highlight w:val="none"/>
        </w:rPr>
      </w:pPr>
      <w:r>
        <w:rPr>
          <w:rFonts w:hint="eastAsia" w:ascii="仿宋" w:hAnsi="仿宋" w:eastAsia="仿宋" w:cs="仿宋"/>
          <w:b/>
          <w:bCs/>
          <w:sz w:val="36"/>
          <w:szCs w:val="36"/>
          <w:highlight w:val="none"/>
          <w:lang w:val="en-US" w:eastAsia="zh-CN"/>
        </w:rPr>
        <w:t>工程量</w:t>
      </w:r>
      <w:bookmarkStart w:id="144" w:name="_Toc29845"/>
      <w:r>
        <w:rPr>
          <w:rFonts w:hint="eastAsia" w:ascii="仿宋" w:hAnsi="仿宋" w:eastAsia="仿宋" w:cs="仿宋"/>
          <w:b/>
          <w:bCs/>
          <w:sz w:val="36"/>
          <w:szCs w:val="36"/>
          <w:highlight w:val="none"/>
        </w:rPr>
        <w:t>费用清单</w:t>
      </w:r>
      <w:bookmarkEnd w:id="144"/>
    </w:p>
    <w:tbl>
      <w:tblPr>
        <w:tblStyle w:val="44"/>
        <w:tblW w:w="86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701"/>
        <w:gridCol w:w="763"/>
        <w:gridCol w:w="1534"/>
        <w:gridCol w:w="2063"/>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959" w:type="dxa"/>
            <w:tcBorders>
              <w:top w:val="single" w:color="auto" w:sz="4" w:space="0"/>
              <w:bottom w:val="single" w:color="auto" w:sz="4" w:space="0"/>
              <w:right w:val="single" w:color="auto" w:sz="4" w:space="0"/>
            </w:tcBorders>
            <w:noWrap/>
          </w:tcPr>
          <w:p>
            <w:pPr>
              <w:spacing w:line="640" w:lineRule="exact"/>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1701" w:type="dxa"/>
            <w:tcBorders>
              <w:top w:val="single" w:color="auto" w:sz="4" w:space="0"/>
              <w:left w:val="single" w:color="auto" w:sz="4" w:space="0"/>
              <w:bottom w:val="single" w:color="auto" w:sz="4" w:space="0"/>
              <w:right w:val="single" w:color="auto" w:sz="4" w:space="0"/>
            </w:tcBorders>
            <w:noWrap/>
          </w:tcPr>
          <w:p>
            <w:pPr>
              <w:spacing w:line="640" w:lineRule="exact"/>
              <w:jc w:val="center"/>
              <w:rPr>
                <w:rFonts w:ascii="仿宋" w:hAnsi="仿宋" w:eastAsia="仿宋" w:cs="Times New Roman"/>
                <w:sz w:val="24"/>
                <w:szCs w:val="24"/>
                <w:highlight w:val="none"/>
              </w:rPr>
            </w:pPr>
            <w:r>
              <w:rPr>
                <w:rFonts w:hint="eastAsia" w:ascii="仿宋" w:hAnsi="仿宋" w:eastAsia="仿宋" w:cs="仿宋"/>
                <w:sz w:val="24"/>
                <w:szCs w:val="24"/>
                <w:highlight w:val="none"/>
              </w:rPr>
              <w:t>检测项目</w:t>
            </w:r>
          </w:p>
        </w:tc>
        <w:tc>
          <w:tcPr>
            <w:tcW w:w="763" w:type="dxa"/>
            <w:tcBorders>
              <w:top w:val="single" w:color="auto" w:sz="4" w:space="0"/>
              <w:left w:val="single" w:color="auto" w:sz="4" w:space="0"/>
              <w:bottom w:val="single" w:color="auto" w:sz="4" w:space="0"/>
              <w:right w:val="single" w:color="auto" w:sz="4" w:space="0"/>
            </w:tcBorders>
            <w:noWrap/>
          </w:tcPr>
          <w:p>
            <w:pPr>
              <w:spacing w:line="640" w:lineRule="exact"/>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1534" w:type="dxa"/>
            <w:tcBorders>
              <w:top w:val="single" w:color="auto" w:sz="4" w:space="0"/>
              <w:left w:val="single" w:color="auto" w:sz="4" w:space="0"/>
              <w:bottom w:val="single" w:color="auto" w:sz="4" w:space="0"/>
              <w:right w:val="single" w:color="auto" w:sz="4" w:space="0"/>
            </w:tcBorders>
            <w:noWrap/>
          </w:tcPr>
          <w:p>
            <w:pPr>
              <w:spacing w:line="640" w:lineRule="exact"/>
              <w:jc w:val="center"/>
              <w:rPr>
                <w:rFonts w:ascii="仿宋" w:hAnsi="仿宋" w:eastAsia="仿宋" w:cs="Times New Roman"/>
                <w:sz w:val="24"/>
                <w:szCs w:val="24"/>
                <w:highlight w:val="none"/>
              </w:rPr>
            </w:pPr>
            <w:r>
              <w:rPr>
                <w:rFonts w:hint="eastAsia" w:ascii="仿宋" w:hAnsi="仿宋" w:eastAsia="仿宋" w:cs="仿宋"/>
                <w:sz w:val="24"/>
                <w:szCs w:val="24"/>
                <w:highlight w:val="none"/>
                <w:lang w:val="en-US" w:eastAsia="zh-CN"/>
              </w:rPr>
              <w:t>暂定工程量</w:t>
            </w:r>
          </w:p>
        </w:tc>
        <w:tc>
          <w:tcPr>
            <w:tcW w:w="2063" w:type="dxa"/>
            <w:tcBorders>
              <w:top w:val="single" w:color="auto" w:sz="4" w:space="0"/>
              <w:left w:val="single" w:color="auto" w:sz="4" w:space="0"/>
              <w:bottom w:val="single" w:color="auto" w:sz="4" w:space="0"/>
              <w:right w:val="single" w:color="auto" w:sz="4" w:space="0"/>
            </w:tcBorders>
            <w:noWrap/>
          </w:tcPr>
          <w:p>
            <w:pPr>
              <w:spacing w:line="640" w:lineRule="exact"/>
              <w:jc w:val="center"/>
              <w:rPr>
                <w:rFonts w:hint="default" w:ascii="仿宋" w:hAnsi="仿宋" w:eastAsia="仿宋" w:cs="Times New Roman"/>
                <w:sz w:val="24"/>
                <w:szCs w:val="24"/>
                <w:highlight w:val="none"/>
                <w:lang w:val="en-US" w:eastAsia="zh-CN"/>
              </w:rPr>
            </w:pPr>
            <w:r>
              <w:rPr>
                <w:rFonts w:hint="eastAsia" w:ascii="仿宋" w:hAnsi="仿宋" w:eastAsia="仿宋" w:cs="仿宋"/>
                <w:sz w:val="24"/>
                <w:szCs w:val="24"/>
                <w:highlight w:val="none"/>
              </w:rPr>
              <w:t>综合单价</w:t>
            </w:r>
            <w:r>
              <w:rPr>
                <w:rFonts w:hint="eastAsia" w:ascii="仿宋" w:hAnsi="仿宋" w:eastAsia="仿宋" w:cs="仿宋"/>
                <w:sz w:val="24"/>
                <w:szCs w:val="24"/>
                <w:highlight w:val="none"/>
                <w:lang w:val="en-US" w:eastAsia="zh-CN"/>
              </w:rPr>
              <w:t>(元）</w:t>
            </w:r>
          </w:p>
        </w:tc>
        <w:tc>
          <w:tcPr>
            <w:tcW w:w="1620" w:type="dxa"/>
            <w:tcBorders>
              <w:top w:val="single" w:color="auto" w:sz="4" w:space="0"/>
              <w:left w:val="single" w:color="auto" w:sz="4" w:space="0"/>
              <w:bottom w:val="single" w:color="auto" w:sz="4" w:space="0"/>
            </w:tcBorders>
            <w:noWrap/>
          </w:tcPr>
          <w:p>
            <w:pPr>
              <w:spacing w:line="6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合价</w:t>
            </w:r>
            <w:r>
              <w:rPr>
                <w:rFonts w:ascii="仿宋" w:hAnsi="仿宋" w:eastAsia="仿宋" w:cs="仿宋"/>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8640" w:type="dxa"/>
            <w:gridSpan w:val="6"/>
            <w:tcBorders>
              <w:top w:val="single" w:color="auto" w:sz="4" w:space="0"/>
            </w:tcBorders>
            <w:noWrap/>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一、主体结构材料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959" w:type="dxa"/>
            <w:tcBorders>
              <w:top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1</w:t>
            </w:r>
          </w:p>
        </w:tc>
        <w:tc>
          <w:tcPr>
            <w:tcW w:w="1701" w:type="dxa"/>
            <w:tcBorders>
              <w:top w:val="single" w:color="auto" w:sz="4" w:space="0"/>
              <w:left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atLeast"/>
        </w:trPr>
        <w:tc>
          <w:tcPr>
            <w:tcW w:w="959" w:type="dxa"/>
            <w:tcBorders>
              <w:top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2</w:t>
            </w:r>
          </w:p>
        </w:tc>
        <w:tc>
          <w:tcPr>
            <w:tcW w:w="1701" w:type="dxa"/>
            <w:tcBorders>
              <w:top w:val="single" w:color="auto" w:sz="4" w:space="0"/>
              <w:left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dxa"/>
            <w:tcBorders>
              <w:top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3</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40" w:type="dxa"/>
            <w:gridSpan w:val="6"/>
            <w:tcBorders>
              <w:top w:val="single" w:color="auto" w:sz="4" w:space="0"/>
              <w:bottom w:val="single" w:color="auto" w:sz="4" w:space="0"/>
            </w:tcBorders>
            <w:noWrap/>
            <w:vAlign w:val="center"/>
          </w:tcPr>
          <w:p>
            <w:pPr>
              <w:widowControl/>
              <w:jc w:val="left"/>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0" w:hRule="atLeast"/>
        </w:trPr>
        <w:tc>
          <w:tcPr>
            <w:tcW w:w="959" w:type="dxa"/>
            <w:tcBorders>
              <w:top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r>
              <w:rPr>
                <w:rFonts w:hint="eastAsia" w:ascii="宋体" w:hAnsi="宋体" w:cs="宋体"/>
                <w:color w:val="000000"/>
                <w:kern w:val="0"/>
                <w:sz w:val="20"/>
                <w:szCs w:val="20"/>
                <w:highlight w:val="none"/>
              </w:rPr>
              <w:t xml:space="preserve"> </w:t>
            </w: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r>
              <w:rPr>
                <w:rFonts w:hint="eastAsia" w:ascii="宋体" w:hAnsi="宋体" w:cs="宋体"/>
                <w:color w:val="000000"/>
                <w:kern w:val="0"/>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dxa"/>
            <w:tcBorders>
              <w:top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5</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dxa"/>
            <w:tcBorders>
              <w:top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6</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r>
              <w:rPr>
                <w:rFonts w:hint="eastAsia" w:ascii="宋体" w:hAnsi="宋体" w:cs="宋体"/>
                <w:color w:val="000000"/>
                <w:kern w:val="0"/>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640" w:type="dxa"/>
            <w:gridSpan w:val="6"/>
            <w:tcBorders>
              <w:top w:val="single" w:color="auto" w:sz="4" w:space="0"/>
              <w:bottom w:val="single" w:color="auto" w:sz="4" w:space="0"/>
            </w:tcBorders>
            <w:noWrap/>
            <w:vAlign w:val="center"/>
          </w:tcPr>
          <w:p>
            <w:pPr>
              <w:spacing w:line="640" w:lineRule="exact"/>
              <w:jc w:val="left"/>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dxa"/>
            <w:tcBorders>
              <w:top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7</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sz w:val="20"/>
                <w:szCs w:val="20"/>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spacing w:line="640" w:lineRule="exact"/>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8640" w:type="dxa"/>
            <w:gridSpan w:val="6"/>
            <w:tcBorders>
              <w:top w:val="single" w:color="auto" w:sz="4" w:space="0"/>
              <w:bottom w:val="single" w:color="auto" w:sz="4" w:space="0"/>
            </w:tcBorders>
            <w:noWrap/>
            <w:vAlign w:val="center"/>
          </w:tcPr>
          <w:p>
            <w:pPr>
              <w:spacing w:line="640" w:lineRule="exact"/>
              <w:rPr>
                <w:rFonts w:ascii="仿宋" w:hAnsi="仿宋" w:eastAsia="仿宋" w:cs="Times New Roman"/>
                <w:sz w:val="24"/>
                <w:szCs w:val="24"/>
                <w:highlight w:val="none"/>
              </w:rPr>
            </w:pPr>
            <w:r>
              <w:rPr>
                <w:rFonts w:hint="eastAsia" w:ascii="仿宋" w:hAnsi="仿宋" w:eastAsia="仿宋" w:cs="仿宋"/>
                <w:sz w:val="24"/>
                <w:szCs w:val="24"/>
                <w:highlight w:val="none"/>
              </w:rPr>
              <w:t>合同总价（选项合计）人民币大写：</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小写￥</w:t>
            </w:r>
          </w:p>
        </w:tc>
      </w:tr>
    </w:tbl>
    <w:p>
      <w:pPr>
        <w:pStyle w:val="101"/>
        <w:spacing w:line="360" w:lineRule="auto"/>
        <w:jc w:val="both"/>
        <w:rPr>
          <w:rFonts w:hint="default" w:ascii="仿宋" w:hAnsi="仿宋" w:eastAsia="仿宋"/>
          <w:highlight w:val="none"/>
          <w:lang w:val="en-US" w:eastAsia="zh-CN"/>
        </w:rPr>
      </w:pPr>
      <w:r>
        <w:rPr>
          <w:rFonts w:hint="eastAsia" w:ascii="仿宋" w:hAnsi="仿宋" w:eastAsia="仿宋" w:cs="仿宋"/>
          <w:highlight w:val="none"/>
        </w:rPr>
        <w:t>注：</w:t>
      </w:r>
      <w:r>
        <w:rPr>
          <w:rFonts w:ascii="仿宋" w:hAnsi="仿宋" w:eastAsia="仿宋" w:cs="仿宋"/>
          <w:highlight w:val="none"/>
        </w:rPr>
        <w:t>1.</w:t>
      </w:r>
      <w:r>
        <w:rPr>
          <w:rFonts w:hint="eastAsia" w:ascii="仿宋" w:hAnsi="仿宋" w:eastAsia="仿宋" w:cs="仿宋"/>
          <w:highlight w:val="none"/>
        </w:rPr>
        <w:t>本工程质量检测项目费用计算方式为：</w:t>
      </w:r>
      <w:r>
        <w:rPr>
          <w:rFonts w:hint="eastAsia" w:ascii="仿宋" w:hAnsi="仿宋" w:eastAsia="仿宋" w:cs="仿宋"/>
          <w:highlight w:val="none"/>
          <w:lang w:val="en-US" w:eastAsia="zh-CN"/>
        </w:rPr>
        <w:t>综合单价包干，工程量按实结算。</w:t>
      </w:r>
    </w:p>
    <w:p>
      <w:pPr>
        <w:pStyle w:val="78"/>
        <w:spacing w:line="360" w:lineRule="auto"/>
        <w:rPr>
          <w:rFonts w:ascii="仿宋" w:hAnsi="仿宋" w:eastAsia="仿宋"/>
          <w:color w:val="auto"/>
          <w:highlight w:val="none"/>
        </w:rPr>
      </w:pPr>
      <w:r>
        <w:rPr>
          <w:rFonts w:ascii="仿宋" w:hAnsi="仿宋" w:eastAsia="仿宋" w:cs="仿宋"/>
          <w:color w:val="auto"/>
          <w:highlight w:val="none"/>
        </w:rPr>
        <w:t xml:space="preserve">   </w:t>
      </w:r>
    </w:p>
    <w:p>
      <w:pPr>
        <w:pStyle w:val="101"/>
        <w:spacing w:line="360" w:lineRule="auto"/>
        <w:jc w:val="both"/>
        <w:rPr>
          <w:rFonts w:ascii="仿宋_GB2312" w:eastAsia="仿宋_GB2312"/>
          <w:sz w:val="32"/>
          <w:szCs w:val="32"/>
          <w:highlight w:val="none"/>
        </w:rPr>
      </w:pPr>
      <w:r>
        <w:rPr>
          <w:rFonts w:ascii="仿宋" w:hAnsi="仿宋" w:eastAsia="仿宋" w:cs="仿宋"/>
          <w:highlight w:val="none"/>
        </w:rPr>
        <w:t xml:space="preserve"> </w:t>
      </w:r>
    </w:p>
    <w:p>
      <w:pPr>
        <w:rPr>
          <w:rFonts w:cs="Times New Roman"/>
          <w:highlight w:val="none"/>
        </w:rPr>
      </w:pPr>
    </w:p>
    <w:p>
      <w:pPr>
        <w:rPr>
          <w:rFonts w:cs="Times New Roman"/>
          <w:highlight w:val="none"/>
        </w:rPr>
      </w:pPr>
    </w:p>
    <w:p>
      <w:pPr>
        <w:pStyle w:val="3"/>
        <w:rPr>
          <w:rFonts w:ascii="仿宋" w:hAnsi="仿宋" w:eastAsia="仿宋" w:cs="仿宋"/>
          <w:highlight w:val="none"/>
        </w:rPr>
      </w:pPr>
      <w:bookmarkStart w:id="145" w:name="_Toc11592"/>
    </w:p>
    <w:p>
      <w:pPr>
        <w:rPr>
          <w:highlight w:val="none"/>
        </w:rPr>
      </w:pPr>
    </w:p>
    <w:p>
      <w:pPr>
        <w:pStyle w:val="3"/>
        <w:rPr>
          <w:rFonts w:hint="eastAsia" w:ascii="仿宋" w:hAnsi="仿宋" w:eastAsia="仿宋" w:cs="仿宋"/>
          <w:highlight w:val="none"/>
        </w:rPr>
      </w:pPr>
    </w:p>
    <w:bookmarkEnd w:id="145"/>
    <w:p>
      <w:pPr>
        <w:outlineLvl w:val="0"/>
        <w:rPr>
          <w:rFonts w:cs="Times New Roman"/>
          <w:highlight w:val="none"/>
        </w:rPr>
      </w:pPr>
    </w:p>
    <w:p>
      <w:pPr>
        <w:outlineLvl w:val="0"/>
        <w:rPr>
          <w:rFonts w:cs="Times New Roman"/>
          <w:highlight w:val="none"/>
        </w:rPr>
      </w:pPr>
    </w:p>
    <w:p>
      <w:pPr>
        <w:outlineLvl w:val="0"/>
        <w:rPr>
          <w:rFonts w:cs="Times New Roman"/>
          <w:highlight w:val="none"/>
        </w:rPr>
      </w:pPr>
    </w:p>
    <w:p>
      <w:pPr>
        <w:outlineLvl w:val="0"/>
        <w:rPr>
          <w:rFonts w:hint="eastAsia" w:eastAsia="宋体" w:cs="Times New Roman"/>
          <w:highlight w:val="none"/>
          <w:lang w:eastAsia="zh-CN"/>
        </w:rPr>
      </w:pPr>
      <w:r>
        <w:rPr>
          <w:rFonts w:hint="eastAsia" w:cs="Times New Roman"/>
          <w:highlight w:val="none"/>
        </w:rPr>
        <w:t>附件</w:t>
      </w:r>
      <w:r>
        <w:rPr>
          <w:rFonts w:hint="eastAsia" w:cs="Times New Roman"/>
          <w:highlight w:val="none"/>
          <w:lang w:val="en-US" w:eastAsia="zh-CN"/>
        </w:rPr>
        <w:t>2</w:t>
      </w:r>
    </w:p>
    <w:p>
      <w:pPr>
        <w:rPr>
          <w:rFonts w:cs="Times New Roman"/>
          <w:highlight w:val="none"/>
        </w:rPr>
      </w:pPr>
    </w:p>
    <w:p>
      <w:pPr>
        <w:keepNext/>
        <w:keepLines/>
        <w:spacing w:line="360" w:lineRule="auto"/>
        <w:jc w:val="center"/>
        <w:outlineLvl w:val="1"/>
        <w:rPr>
          <w:rFonts w:ascii="宋体" w:hAnsi="宋体" w:cs="宋体"/>
          <w:b/>
          <w:bCs/>
          <w:sz w:val="32"/>
          <w:szCs w:val="32"/>
          <w:highlight w:val="none"/>
        </w:rPr>
      </w:pPr>
      <w:bookmarkStart w:id="146" w:name="_Toc32655"/>
      <w:bookmarkStart w:id="147" w:name="_Toc9140"/>
      <w:bookmarkStart w:id="148" w:name="_Toc38224867"/>
      <w:bookmarkStart w:id="149" w:name="_Toc18694"/>
      <w:bookmarkStart w:id="150" w:name="_Toc532367897"/>
      <w:bookmarkStart w:id="151" w:name="_Toc377719917"/>
      <w:bookmarkStart w:id="152" w:name="_Toc13214"/>
      <w:bookmarkStart w:id="153" w:name="_Toc12738"/>
      <w:bookmarkStart w:id="154" w:name="_Toc17488"/>
      <w:bookmarkStart w:id="155" w:name="_Toc29747"/>
      <w:bookmarkStart w:id="156" w:name="_Toc25406"/>
      <w:r>
        <w:rPr>
          <w:rFonts w:hint="eastAsia" w:ascii="宋体" w:hAnsi="宋体" w:cs="宋体"/>
          <w:b/>
          <w:bCs/>
          <w:sz w:val="32"/>
          <w:szCs w:val="32"/>
          <w:highlight w:val="none"/>
        </w:rPr>
        <w:t>拟投入本项目的检测人员一览表</w:t>
      </w:r>
      <w:bookmarkEnd w:id="146"/>
      <w:bookmarkEnd w:id="147"/>
      <w:bookmarkEnd w:id="148"/>
    </w:p>
    <w:bookmarkEnd w:id="149"/>
    <w:bookmarkEnd w:id="150"/>
    <w:bookmarkEnd w:id="151"/>
    <w:bookmarkEnd w:id="152"/>
    <w:bookmarkEnd w:id="153"/>
    <w:bookmarkEnd w:id="154"/>
    <w:bookmarkEnd w:id="155"/>
    <w:bookmarkEnd w:id="156"/>
    <w:p>
      <w:pPr>
        <w:jc w:val="left"/>
        <w:rPr>
          <w:rFonts w:ascii="宋体" w:hAnsi="宋体" w:cs="宋体"/>
          <w:szCs w:val="24"/>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00"/>
        <w:gridCol w:w="900"/>
        <w:gridCol w:w="1387"/>
        <w:gridCol w:w="975"/>
        <w:gridCol w:w="223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53"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序号</w:t>
            </w:r>
          </w:p>
        </w:tc>
        <w:tc>
          <w:tcPr>
            <w:tcW w:w="1200"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姓名</w:t>
            </w:r>
          </w:p>
        </w:tc>
        <w:tc>
          <w:tcPr>
            <w:tcW w:w="900"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年龄</w:t>
            </w:r>
          </w:p>
        </w:tc>
        <w:tc>
          <w:tcPr>
            <w:tcW w:w="1387"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拟在本项目任职职位</w:t>
            </w:r>
          </w:p>
        </w:tc>
        <w:tc>
          <w:tcPr>
            <w:tcW w:w="975"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学历</w:t>
            </w:r>
          </w:p>
        </w:tc>
        <w:tc>
          <w:tcPr>
            <w:tcW w:w="2235"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职称及专业</w:t>
            </w:r>
          </w:p>
        </w:tc>
        <w:tc>
          <w:tcPr>
            <w:tcW w:w="835"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bl>
    <w:p>
      <w:pPr>
        <w:pStyle w:val="52"/>
        <w:ind w:firstLine="0" w:firstLineChars="0"/>
        <w:outlineLvl w:val="0"/>
        <w:rPr>
          <w:rFonts w:cs="Times New Roman"/>
          <w:highlight w:val="none"/>
        </w:rPr>
      </w:pPr>
    </w:p>
    <w:p>
      <w:pPr>
        <w:pStyle w:val="52"/>
        <w:outlineLvl w:val="0"/>
        <w:rPr>
          <w:rFonts w:hint="eastAsia" w:eastAsia="方正书宋简体" w:cs="Times New Roman"/>
          <w:highlight w:val="none"/>
          <w:lang w:eastAsia="zh-CN"/>
        </w:rPr>
      </w:pPr>
      <w:r>
        <w:rPr>
          <w:rFonts w:hint="eastAsia" w:cs="Times New Roman"/>
          <w:highlight w:val="none"/>
        </w:rPr>
        <w:t>附件</w:t>
      </w:r>
      <w:r>
        <w:rPr>
          <w:rFonts w:hint="eastAsia" w:cs="Times New Roman"/>
          <w:highlight w:val="none"/>
          <w:lang w:val="en-US" w:eastAsia="zh-CN"/>
        </w:rPr>
        <w:t>3</w:t>
      </w:r>
    </w:p>
    <w:p>
      <w:pPr>
        <w:pStyle w:val="5"/>
        <w:numPr>
          <w:ilvl w:val="0"/>
          <w:numId w:val="0"/>
        </w:numPr>
        <w:ind w:left="1405"/>
        <w:jc w:val="both"/>
        <w:rPr>
          <w:rFonts w:ascii="宋体" w:hAnsi="宋体" w:cs="宋体"/>
          <w:highlight w:val="none"/>
        </w:rPr>
      </w:pPr>
      <w:r>
        <w:rPr>
          <w:rFonts w:hint="eastAsia" w:ascii="宋体" w:hAnsi="宋体" w:cs="宋体"/>
          <w:highlight w:val="none"/>
        </w:rPr>
        <w:t>拟投入本项目的主要检测仪器设备一览表</w:t>
      </w:r>
    </w:p>
    <w:tbl>
      <w:tblPr>
        <w:tblStyle w:val="44"/>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75"/>
        <w:gridCol w:w="1000"/>
        <w:gridCol w:w="762"/>
        <w:gridCol w:w="1938"/>
        <w:gridCol w:w="1000"/>
        <w:gridCol w:w="1337"/>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0" w:type="dxa"/>
            <w:vMerge w:val="restart"/>
            <w:noWrap/>
            <w:vAlign w:val="center"/>
          </w:tcPr>
          <w:p>
            <w:pPr>
              <w:jc w:val="center"/>
              <w:rPr>
                <w:rFonts w:ascii="宋体" w:hAnsi="宋体" w:cs="宋体"/>
                <w:sz w:val="22"/>
                <w:highlight w:val="none"/>
              </w:rPr>
            </w:pPr>
            <w:r>
              <w:rPr>
                <w:rFonts w:hint="eastAsia" w:ascii="宋体" w:hAnsi="宋体" w:cs="宋体"/>
                <w:sz w:val="22"/>
                <w:highlight w:val="none"/>
              </w:rPr>
              <w:t>序号</w:t>
            </w:r>
          </w:p>
        </w:tc>
        <w:tc>
          <w:tcPr>
            <w:tcW w:w="1875" w:type="dxa"/>
            <w:vMerge w:val="restart"/>
            <w:noWrap/>
            <w:vAlign w:val="center"/>
          </w:tcPr>
          <w:p>
            <w:pPr>
              <w:jc w:val="center"/>
              <w:rPr>
                <w:rFonts w:ascii="宋体" w:hAnsi="宋体" w:cs="宋体"/>
                <w:sz w:val="22"/>
                <w:highlight w:val="none"/>
              </w:rPr>
            </w:pPr>
            <w:r>
              <w:rPr>
                <w:rFonts w:hint="eastAsia" w:ascii="宋体" w:hAnsi="宋体" w:cs="宋体"/>
                <w:sz w:val="22"/>
                <w:highlight w:val="none"/>
              </w:rPr>
              <w:t>设备名称</w:t>
            </w:r>
          </w:p>
        </w:tc>
        <w:tc>
          <w:tcPr>
            <w:tcW w:w="1000" w:type="dxa"/>
            <w:vMerge w:val="restart"/>
            <w:noWrap/>
            <w:vAlign w:val="center"/>
          </w:tcPr>
          <w:p>
            <w:pPr>
              <w:jc w:val="center"/>
              <w:rPr>
                <w:rFonts w:ascii="宋体" w:hAnsi="宋体" w:cs="宋体"/>
                <w:sz w:val="22"/>
                <w:highlight w:val="none"/>
              </w:rPr>
            </w:pPr>
            <w:r>
              <w:rPr>
                <w:rFonts w:hint="eastAsia" w:ascii="宋体" w:hAnsi="宋体" w:cs="宋体"/>
                <w:sz w:val="22"/>
                <w:highlight w:val="none"/>
              </w:rPr>
              <w:t>本项目</w:t>
            </w:r>
          </w:p>
          <w:p>
            <w:pPr>
              <w:jc w:val="center"/>
              <w:rPr>
                <w:rFonts w:ascii="宋体" w:hAnsi="宋体" w:cs="宋体"/>
                <w:sz w:val="22"/>
                <w:highlight w:val="none"/>
              </w:rPr>
            </w:pPr>
            <w:r>
              <w:rPr>
                <w:rFonts w:hint="eastAsia" w:ascii="宋体" w:hAnsi="宋体" w:cs="宋体"/>
                <w:sz w:val="22"/>
                <w:highlight w:val="none"/>
              </w:rPr>
              <w:t>数量基本要求</w:t>
            </w:r>
          </w:p>
        </w:tc>
        <w:tc>
          <w:tcPr>
            <w:tcW w:w="5812" w:type="dxa"/>
            <w:gridSpan w:val="5"/>
            <w:noWrap/>
            <w:vAlign w:val="center"/>
          </w:tcPr>
          <w:p>
            <w:pPr>
              <w:jc w:val="center"/>
              <w:rPr>
                <w:rFonts w:ascii="宋体" w:hAnsi="宋体" w:cs="宋体"/>
                <w:sz w:val="22"/>
                <w:highlight w:val="none"/>
              </w:rPr>
            </w:pPr>
            <w:r>
              <w:rPr>
                <w:rFonts w:hint="eastAsia" w:ascii="宋体" w:hAnsi="宋体" w:cs="宋体"/>
                <w:sz w:val="22"/>
                <w:highlight w:val="none"/>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0" w:type="dxa"/>
            <w:vMerge w:val="continue"/>
            <w:noWrap/>
            <w:vAlign w:val="center"/>
          </w:tcPr>
          <w:p>
            <w:pPr>
              <w:jc w:val="center"/>
              <w:rPr>
                <w:rFonts w:ascii="宋体" w:hAnsi="宋体" w:cs="宋体"/>
                <w:sz w:val="22"/>
                <w:highlight w:val="none"/>
              </w:rPr>
            </w:pPr>
          </w:p>
        </w:tc>
        <w:tc>
          <w:tcPr>
            <w:tcW w:w="1875" w:type="dxa"/>
            <w:vMerge w:val="continue"/>
            <w:noWrap/>
            <w:vAlign w:val="center"/>
          </w:tcPr>
          <w:p>
            <w:pPr>
              <w:jc w:val="center"/>
              <w:rPr>
                <w:rFonts w:ascii="宋体" w:hAnsi="宋体" w:cs="宋体"/>
                <w:sz w:val="22"/>
                <w:highlight w:val="none"/>
              </w:rPr>
            </w:pPr>
          </w:p>
        </w:tc>
        <w:tc>
          <w:tcPr>
            <w:tcW w:w="1000" w:type="dxa"/>
            <w:vMerge w:val="continue"/>
            <w:noWrap/>
            <w:vAlign w:val="center"/>
          </w:tcPr>
          <w:p>
            <w:pPr>
              <w:jc w:val="center"/>
              <w:rPr>
                <w:rFonts w:ascii="宋体" w:hAnsi="宋体" w:cs="宋体"/>
                <w:sz w:val="22"/>
                <w:highlight w:val="none"/>
              </w:rPr>
            </w:pPr>
          </w:p>
        </w:tc>
        <w:tc>
          <w:tcPr>
            <w:tcW w:w="762" w:type="dxa"/>
            <w:noWrap/>
            <w:vAlign w:val="center"/>
          </w:tcPr>
          <w:p>
            <w:pPr>
              <w:jc w:val="center"/>
              <w:rPr>
                <w:rFonts w:ascii="宋体" w:hAnsi="宋体" w:cs="宋体"/>
                <w:sz w:val="22"/>
                <w:highlight w:val="none"/>
              </w:rPr>
            </w:pPr>
            <w:r>
              <w:rPr>
                <w:rFonts w:hint="eastAsia" w:ascii="宋体" w:hAnsi="宋体" w:cs="宋体"/>
                <w:sz w:val="22"/>
                <w:highlight w:val="none"/>
              </w:rPr>
              <w:t>数量</w:t>
            </w:r>
          </w:p>
        </w:tc>
        <w:tc>
          <w:tcPr>
            <w:tcW w:w="1938" w:type="dxa"/>
            <w:noWrap/>
            <w:vAlign w:val="center"/>
          </w:tcPr>
          <w:p>
            <w:pPr>
              <w:jc w:val="center"/>
              <w:rPr>
                <w:rFonts w:ascii="宋体" w:hAnsi="宋体" w:cs="宋体"/>
                <w:sz w:val="22"/>
                <w:highlight w:val="none"/>
              </w:rPr>
            </w:pPr>
            <w:r>
              <w:rPr>
                <w:rFonts w:hint="eastAsia" w:ascii="宋体" w:hAnsi="宋体" w:cs="宋体"/>
                <w:sz w:val="22"/>
                <w:highlight w:val="none"/>
              </w:rPr>
              <w:t>检定/校准机构</w:t>
            </w:r>
          </w:p>
        </w:tc>
        <w:tc>
          <w:tcPr>
            <w:tcW w:w="1000" w:type="dxa"/>
            <w:noWrap/>
            <w:vAlign w:val="center"/>
          </w:tcPr>
          <w:p>
            <w:pPr>
              <w:jc w:val="center"/>
              <w:rPr>
                <w:rFonts w:ascii="宋体" w:hAnsi="宋体" w:cs="宋体"/>
                <w:sz w:val="22"/>
                <w:highlight w:val="none"/>
              </w:rPr>
            </w:pPr>
            <w:r>
              <w:rPr>
                <w:rFonts w:hint="eastAsia" w:ascii="宋体" w:hAnsi="宋体" w:cs="宋体"/>
                <w:sz w:val="22"/>
                <w:highlight w:val="none"/>
              </w:rPr>
              <w:t>有效期</w:t>
            </w:r>
          </w:p>
        </w:tc>
        <w:tc>
          <w:tcPr>
            <w:tcW w:w="1337" w:type="dxa"/>
            <w:noWrap/>
            <w:vAlign w:val="center"/>
          </w:tcPr>
          <w:p>
            <w:pPr>
              <w:jc w:val="center"/>
              <w:rPr>
                <w:rFonts w:ascii="宋体" w:hAnsi="宋体" w:cs="宋体"/>
                <w:sz w:val="22"/>
                <w:highlight w:val="none"/>
              </w:rPr>
            </w:pPr>
            <w:r>
              <w:rPr>
                <w:rFonts w:hint="eastAsia" w:ascii="宋体" w:hAnsi="宋体" w:cs="宋体"/>
                <w:sz w:val="22"/>
                <w:highlight w:val="none"/>
              </w:rPr>
              <w:t>检定/校准周期</w:t>
            </w:r>
          </w:p>
        </w:tc>
        <w:tc>
          <w:tcPr>
            <w:tcW w:w="775" w:type="dxa"/>
            <w:noWrap/>
            <w:vAlign w:val="center"/>
          </w:tcPr>
          <w:p>
            <w:pPr>
              <w:jc w:val="center"/>
              <w:rPr>
                <w:rFonts w:ascii="宋体" w:hAnsi="宋体" w:cs="宋体"/>
                <w:sz w:val="22"/>
                <w:highlight w:val="none"/>
              </w:rPr>
            </w:pPr>
            <w:r>
              <w:rPr>
                <w:rFonts w:hint="eastAsia" w:ascii="宋体" w:hAnsi="宋体" w:cs="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widowControl/>
              <w:jc w:val="center"/>
              <w:textAlignment w:val="center"/>
              <w:rPr>
                <w:rFonts w:ascii="宋体" w:hAnsi="宋体" w:cs="宋体"/>
                <w:color w:val="000000"/>
                <w:sz w:val="18"/>
                <w:szCs w:val="18"/>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i/>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pStyle w:val="39"/>
              <w:tabs>
                <w:tab w:val="left" w:pos="851"/>
              </w:tabs>
              <w:spacing w:after="0" w:line="360" w:lineRule="auto"/>
              <w:jc w:val="center"/>
              <w:rPr>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pStyle w:val="39"/>
              <w:tabs>
                <w:tab w:val="left" w:pos="851"/>
              </w:tabs>
              <w:spacing w:after="0" w:line="360" w:lineRule="auto"/>
              <w:jc w:val="center"/>
              <w:rPr>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widowControl/>
              <w:jc w:val="center"/>
              <w:textAlignment w:val="center"/>
              <w:rPr>
                <w:rFonts w:ascii="宋体" w:hAnsi="宋体" w:cs="宋体"/>
                <w:color w:val="000000"/>
                <w:sz w:val="18"/>
                <w:szCs w:val="18"/>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pStyle w:val="39"/>
              <w:tabs>
                <w:tab w:val="left" w:pos="851"/>
              </w:tabs>
              <w:spacing w:after="0" w:line="360" w:lineRule="auto"/>
              <w:jc w:val="center"/>
              <w:rPr>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240" w:lineRule="exact"/>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bl>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spacing w:line="240" w:lineRule="auto"/>
        <w:jc w:val="left"/>
        <w:outlineLvl w:val="9"/>
        <w:rPr>
          <w:rFonts w:hint="eastAsia" w:ascii="仿宋_GB2312" w:hAnsi="宋体" w:eastAsia="仿宋_GB2312"/>
          <w:kern w:val="0"/>
          <w:sz w:val="24"/>
          <w:szCs w:val="30"/>
          <w:highlight w:val="none"/>
        </w:rPr>
      </w:pPr>
      <w:bookmarkStart w:id="157" w:name="_Toc5188"/>
      <w:r>
        <w:rPr>
          <w:rFonts w:hint="eastAsia" w:ascii="仿宋_GB2312" w:hAnsi="宋体" w:eastAsia="仿宋_GB2312"/>
          <w:kern w:val="0"/>
          <w:sz w:val="24"/>
          <w:szCs w:val="30"/>
          <w:highlight w:val="none"/>
        </w:rPr>
        <w:br w:type="page"/>
      </w:r>
    </w:p>
    <w:p>
      <w:pPr>
        <w:tabs>
          <w:tab w:val="left" w:pos="5400"/>
        </w:tabs>
        <w:spacing w:line="360" w:lineRule="auto"/>
        <w:jc w:val="left"/>
        <w:outlineLvl w:val="0"/>
        <w:rPr>
          <w:rFonts w:hint="eastAsia" w:ascii="仿宋_GB2312" w:hAnsi="宋体" w:eastAsia="仿宋_GB2312"/>
          <w:kern w:val="0"/>
          <w:sz w:val="32"/>
          <w:szCs w:val="32"/>
          <w:highlight w:val="none"/>
        </w:rPr>
      </w:pPr>
      <w:r>
        <w:rPr>
          <w:rFonts w:hint="eastAsia" w:ascii="仿宋_GB2312" w:hAnsi="宋体" w:eastAsia="仿宋_GB2312"/>
          <w:kern w:val="0"/>
          <w:sz w:val="24"/>
          <w:szCs w:val="30"/>
          <w:highlight w:val="none"/>
        </w:rPr>
        <w:t>附件</w:t>
      </w:r>
      <w:r>
        <w:rPr>
          <w:rFonts w:hint="eastAsia" w:ascii="仿宋_GB2312" w:hAnsi="宋体" w:eastAsia="仿宋_GB2312"/>
          <w:kern w:val="0"/>
          <w:sz w:val="24"/>
          <w:szCs w:val="30"/>
          <w:highlight w:val="none"/>
          <w:lang w:val="en-US" w:eastAsia="zh-CN"/>
        </w:rPr>
        <w:t>4</w:t>
      </w:r>
      <w:r>
        <w:rPr>
          <w:rFonts w:hint="eastAsia" w:ascii="仿宋_GB2312" w:hAnsi="宋体" w:eastAsia="仿宋_GB2312"/>
          <w:kern w:val="0"/>
          <w:sz w:val="24"/>
          <w:szCs w:val="30"/>
          <w:highlight w:val="none"/>
        </w:rPr>
        <w:t>：</w:t>
      </w:r>
      <w:bookmarkEnd w:id="157"/>
    </w:p>
    <w:p>
      <w:pPr>
        <w:tabs>
          <w:tab w:val="left" w:pos="5400"/>
        </w:tabs>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廉 政 合 同</w:t>
      </w:r>
    </w:p>
    <w:p>
      <w:pPr>
        <w:adjustRightInd w:val="0"/>
        <w:snapToGrid w:val="0"/>
        <w:spacing w:line="640" w:lineRule="exact"/>
        <w:ind w:firstLine="0" w:firstLineChars="0"/>
        <w:rPr>
          <w:rFonts w:ascii="仿宋" w:hAnsi="仿宋" w:eastAsia="仿宋" w:cs="仿宋"/>
          <w:b/>
          <w:bCs/>
          <w:sz w:val="32"/>
          <w:szCs w:val="32"/>
          <w:highlight w:val="none"/>
        </w:rPr>
      </w:pPr>
      <w:r>
        <w:rPr>
          <w:rFonts w:hint="eastAsia" w:ascii="仿宋" w:hAnsi="仿宋" w:eastAsia="仿宋" w:cs="仿宋"/>
          <w:sz w:val="24"/>
          <w:szCs w:val="22"/>
          <w:highlight w:val="none"/>
        </w:rPr>
        <w:t>委托单位全称（甲方）：</w:t>
      </w:r>
    </w:p>
    <w:p>
      <w:pPr>
        <w:adjustRightInd w:val="0"/>
        <w:snapToGrid w:val="0"/>
        <w:spacing w:line="640" w:lineRule="exact"/>
        <w:ind w:firstLine="0" w:firstLineChars="0"/>
        <w:rPr>
          <w:rFonts w:ascii="仿宋" w:hAnsi="仿宋" w:eastAsia="仿宋" w:cs="仿宋"/>
          <w:sz w:val="32"/>
          <w:szCs w:val="32"/>
          <w:highlight w:val="none"/>
        </w:rPr>
      </w:pPr>
      <w:r>
        <w:rPr>
          <w:rFonts w:hint="eastAsia" w:ascii="仿宋" w:hAnsi="仿宋" w:eastAsia="仿宋" w:cs="仿宋"/>
          <w:sz w:val="24"/>
          <w:szCs w:val="22"/>
          <w:highlight w:val="none"/>
        </w:rPr>
        <w:t>检测单位全称（乙方）：</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根据国家、省工程建设和廉政建设的有关规定，为做好合同工程的廉政建设，保证工程质量与施工安全，提高建设资金的有效使用和投资效益，</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单位就加强合同工程的廉政建设，订立本合同。</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  双方权利和义务</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严格遵守国家有关法律法规的规定。</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  严格执行一切合同文件，自觉按合同办事。</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  双方的业务活动坚持公平、公开、公正和诚信的原则（法律认定的商业秘密和合同文件另有规定除外），不得损害国家和集体利益，不得违反工程建设管理规章制度。</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  建立健全廉政制度，开展廉政教育，设立廉政告示牌，公布举报电话，监督并认真查处违法违纪行为。</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  发现对方在业务活动中有违反廉政建设规定的行为，应及时给予提醒和纠正。</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1.6  发现对方严重违反合同的行为，有向其上级部门举报、建议给予处理并要求告知处理结果的权利。</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2  </w:t>
      </w:r>
      <w:r>
        <w:rPr>
          <w:rFonts w:hint="eastAsia" w:ascii="仿宋" w:hAnsi="仿宋" w:eastAsia="仿宋" w:cs="仿宋"/>
          <w:b/>
          <w:sz w:val="24"/>
          <w:szCs w:val="24"/>
          <w:highlight w:val="none"/>
          <w:lang w:val="en-US" w:eastAsia="zh-CN"/>
        </w:rPr>
        <w:t>甲方</w:t>
      </w:r>
      <w:r>
        <w:rPr>
          <w:rFonts w:hint="eastAsia" w:ascii="仿宋" w:hAnsi="仿宋" w:eastAsia="仿宋" w:cs="仿宋"/>
          <w:b/>
          <w:sz w:val="24"/>
          <w:szCs w:val="24"/>
          <w:highlight w:val="none"/>
        </w:rPr>
        <w:t>义务</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2.1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及其工作人员不得索要或接受</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的礼金、有价证券和贵重物品，不得在</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报销任何应由</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或工作人员个人支付的费用等。</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2.2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及其工作人员不得参加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安排的宴请（工作餐除外）和娱乐活动；不得接受</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提供的通讯工具、交通工具和高档办公用品等。</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2.3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及其工作人员不得要求或者接受</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为其住房装修、婚丧嫁娶活动、配偶子女的工作安排以及出国出境、旅游等提供方便等。</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2.4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及其工作人员及其配偶、子女不得从事与建设管理单位有关的工程材料设备供应、工程分包、劳务等经济活动。</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2.5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及其工作人员不得以任何理由向</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推荐分包单位或推销材料，不得要求</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购买合同约定外的材料和设备。</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 xml:space="preserve">2.6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及其工作人员要秉公办事，不准营私舞弊，不准利用职权从事各种个人有偿中介活动和安排个人施工队伍。</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3  </w:t>
      </w:r>
      <w:r>
        <w:rPr>
          <w:rFonts w:hint="eastAsia" w:ascii="仿宋" w:hAnsi="仿宋" w:eastAsia="仿宋" w:cs="仿宋"/>
          <w:b/>
          <w:sz w:val="24"/>
          <w:szCs w:val="24"/>
          <w:highlight w:val="none"/>
          <w:lang w:val="en-US" w:eastAsia="zh-CN"/>
        </w:rPr>
        <w:t>乙方人</w:t>
      </w:r>
      <w:r>
        <w:rPr>
          <w:rFonts w:hint="eastAsia" w:ascii="仿宋" w:hAnsi="仿宋" w:eastAsia="仿宋" w:cs="仿宋"/>
          <w:b/>
          <w:sz w:val="24"/>
          <w:szCs w:val="24"/>
          <w:highlight w:val="none"/>
        </w:rPr>
        <w:t>义务</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3.1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不得以任何理由向</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及其工作人员行贿或馈赠礼金、有价证券、贵重礼品。</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3.2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不得以任何名义为</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及其工作人员报销应由建设管理单位或工作人员个人支付的任何费用。</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3.3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不得以任何理由安排</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及其工作人员参加宴请（工作餐除外）及娱乐活动。</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 xml:space="preserve">3.4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不得为</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购置或提供高档通讯工具和高档办公用品等。</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4  违约责任</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4.1  </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及其工作人员违反本合同第1条和第2条规定，应依据有关规定给予廉政建设规定的处分；涉嫌犯罪的，移交司法机关追究刑事责任；给</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造成经济损失的，应予赔偿。</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4.2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及其工作人员违反本合同第1条和第3条规定，应依据有关规定给予廉政建设规定的处分；给</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造成经济损失的，应予赔偿；情节严重的，由建设主管部门给予</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一至三年内不得进入工程建设市场的处罚。</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  双方约定</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本合同由双方或其上级部门负责监督执行，并由双方或其上级部门相互约请对本合同执行情况进行检查。</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6  合同生效</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本合同的有效期，自双方签署之日起至该工程竣工验收合格之日止。</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7  合同法律效力</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本合同作为</w:t>
      </w:r>
      <w:r>
        <w:rPr>
          <w:rFonts w:hint="eastAsia" w:ascii="仿宋" w:hAnsi="仿宋" w:eastAsia="仿宋" w:cs="仿宋"/>
          <w:sz w:val="24"/>
          <w:szCs w:val="24"/>
          <w:highlight w:val="none"/>
          <w:u w:val="single"/>
          <w:lang w:eastAsia="zh-CN"/>
        </w:rPr>
        <w:t>项目</w:t>
      </w:r>
      <w:r>
        <w:rPr>
          <w:rFonts w:hint="eastAsia" w:ascii="仿宋" w:hAnsi="仿宋" w:eastAsia="仿宋" w:cs="仿宋"/>
          <w:sz w:val="24"/>
          <w:szCs w:val="24"/>
          <w:highlight w:val="none"/>
          <w:u w:val="single"/>
          <w:lang w:val="en-US" w:eastAsia="zh-CN"/>
        </w:rPr>
        <w:t>检测监测</w:t>
      </w:r>
      <w:r>
        <w:rPr>
          <w:rFonts w:hint="eastAsia" w:ascii="仿宋" w:hAnsi="仿宋" w:eastAsia="仿宋" w:cs="仿宋"/>
          <w:sz w:val="24"/>
          <w:szCs w:val="24"/>
          <w:highlight w:val="none"/>
        </w:rPr>
        <w:t>合同的附件，与</w:t>
      </w: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合同具有同等的法律效力，经双方签署后生效。</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（以下无正文）</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(公章)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rPr>
        <w:t xml:space="preserve">地址：    </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       </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授权代理人：</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rPr>
        <w:t xml:space="preserve">     </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乙方</w:t>
      </w:r>
      <w:r>
        <w:rPr>
          <w:rFonts w:hint="eastAsia" w:ascii="仿宋" w:hAnsi="仿宋" w:eastAsia="仿宋" w:cs="仿宋"/>
          <w:snapToGrid w:val="0"/>
          <w:sz w:val="24"/>
          <w:szCs w:val="24"/>
          <w:highlight w:val="none"/>
        </w:rPr>
        <w:t>：</w:t>
      </w:r>
      <w:r>
        <w:rPr>
          <w:rFonts w:hint="eastAsia" w:ascii="仿宋" w:hAnsi="仿宋" w:eastAsia="仿宋" w:cs="仿宋"/>
          <w:sz w:val="24"/>
          <w:szCs w:val="24"/>
          <w:highlight w:val="none"/>
        </w:rPr>
        <w:t>（主）</w:t>
      </w:r>
      <w:r>
        <w:rPr>
          <w:rFonts w:hint="eastAsia" w:ascii="仿宋" w:hAnsi="仿宋" w:eastAsia="仿宋" w:cs="仿宋"/>
          <w:sz w:val="24"/>
          <w:szCs w:val="24"/>
          <w:highlight w:val="none"/>
          <w:lang w:eastAsia="zh-CN"/>
        </w:rPr>
        <w:t xml:space="preserve">       </w:t>
      </w:r>
      <w:r>
        <w:rPr>
          <w:rFonts w:hint="eastAsia" w:ascii="仿宋" w:hAnsi="仿宋" w:eastAsia="仿宋" w:cs="仿宋"/>
          <w:snapToGrid w:val="0"/>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rPr>
        <w:t>通讯地址：</w:t>
      </w:r>
      <w:r>
        <w:rPr>
          <w:rFonts w:hint="eastAsia" w:ascii="仿宋" w:hAnsi="仿宋" w:eastAsia="仿宋" w:cs="仿宋"/>
          <w:snapToGrid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签约代表：</w:t>
      </w:r>
    </w:p>
    <w:p>
      <w:pPr>
        <w:pStyle w:val="13"/>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rPr>
        <w:t xml:space="preserve"> </w:t>
      </w: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52"/>
        <w:ind w:firstLine="0" w:firstLineChars="0"/>
        <w:outlineLvl w:val="0"/>
        <w:rPr>
          <w:rFonts w:cs="Times New Roman"/>
          <w:highlight w:val="none"/>
        </w:rPr>
      </w:pPr>
    </w:p>
    <w:p>
      <w:pPr>
        <w:rPr>
          <w:highlight w:val="none"/>
        </w:rPr>
      </w:pPr>
    </w:p>
    <w:p>
      <w:pPr>
        <w:rPr>
          <w:highlight w:val="none"/>
        </w:rPr>
      </w:pPr>
    </w:p>
    <w:p>
      <w:pPr>
        <w:rPr>
          <w:highlight w:val="none"/>
        </w:rPr>
      </w:pPr>
    </w:p>
    <w:p>
      <w:pPr>
        <w:rPr>
          <w:highlight w:val="none"/>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uto"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8</w:t>
    </w:r>
    <w:r>
      <w:rPr>
        <w:rStyle w:val="48"/>
      </w:rPr>
      <w:fldChar w:fldCharType="end"/>
    </w:r>
  </w:p>
  <w:p>
    <w:pPr>
      <w:pStyle w:val="29"/>
      <w:jc w:val="center"/>
    </w:pP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75D43"/>
    <w:multiLevelType w:val="singleLevel"/>
    <w:tmpl w:val="E0C75D43"/>
    <w:lvl w:ilvl="0" w:tentative="0">
      <w:start w:val="1"/>
      <w:numFmt w:val="decimal"/>
      <w:suff w:val="space"/>
      <w:lvlText w:val="%1."/>
      <w:lvlJc w:val="left"/>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87"/>
        </w:tabs>
        <w:ind w:left="1287"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NDdlNThkOTAzODYzM2I5NTcxYjliMzhkNjBkNjkifQ=="/>
  </w:docVars>
  <w:rsids>
    <w:rsidRoot w:val="00A16BA5"/>
    <w:rsid w:val="0000141C"/>
    <w:rsid w:val="00011A06"/>
    <w:rsid w:val="00011E13"/>
    <w:rsid w:val="00031BDF"/>
    <w:rsid w:val="0004089A"/>
    <w:rsid w:val="00046B34"/>
    <w:rsid w:val="00054EB8"/>
    <w:rsid w:val="000831E1"/>
    <w:rsid w:val="00096E40"/>
    <w:rsid w:val="000A3038"/>
    <w:rsid w:val="000B08E7"/>
    <w:rsid w:val="000B5F72"/>
    <w:rsid w:val="000C0D01"/>
    <w:rsid w:val="000D6F32"/>
    <w:rsid w:val="000E734D"/>
    <w:rsid w:val="000F3E1A"/>
    <w:rsid w:val="000F4473"/>
    <w:rsid w:val="000F645F"/>
    <w:rsid w:val="00102A0E"/>
    <w:rsid w:val="001045F9"/>
    <w:rsid w:val="001103B2"/>
    <w:rsid w:val="001151EE"/>
    <w:rsid w:val="00125A90"/>
    <w:rsid w:val="00145B84"/>
    <w:rsid w:val="001637A3"/>
    <w:rsid w:val="00175A75"/>
    <w:rsid w:val="00176478"/>
    <w:rsid w:val="0018224C"/>
    <w:rsid w:val="001879A0"/>
    <w:rsid w:val="001B286D"/>
    <w:rsid w:val="001B4BE3"/>
    <w:rsid w:val="001B6CB5"/>
    <w:rsid w:val="001B7ECE"/>
    <w:rsid w:val="001C6D2A"/>
    <w:rsid w:val="001C6F82"/>
    <w:rsid w:val="001D24CD"/>
    <w:rsid w:val="001D3BC7"/>
    <w:rsid w:val="001D61CF"/>
    <w:rsid w:val="001D6ED5"/>
    <w:rsid w:val="001F243B"/>
    <w:rsid w:val="001F7226"/>
    <w:rsid w:val="00214919"/>
    <w:rsid w:val="00245FE9"/>
    <w:rsid w:val="00251B7F"/>
    <w:rsid w:val="002530E7"/>
    <w:rsid w:val="00257629"/>
    <w:rsid w:val="0029579D"/>
    <w:rsid w:val="002B7C68"/>
    <w:rsid w:val="002D01F4"/>
    <w:rsid w:val="002D1D88"/>
    <w:rsid w:val="002D7D09"/>
    <w:rsid w:val="002F1353"/>
    <w:rsid w:val="002F48C3"/>
    <w:rsid w:val="003118FA"/>
    <w:rsid w:val="00316030"/>
    <w:rsid w:val="00316564"/>
    <w:rsid w:val="0032536B"/>
    <w:rsid w:val="0035043B"/>
    <w:rsid w:val="00354659"/>
    <w:rsid w:val="003857CF"/>
    <w:rsid w:val="003904C4"/>
    <w:rsid w:val="00392DB2"/>
    <w:rsid w:val="00394638"/>
    <w:rsid w:val="003975AE"/>
    <w:rsid w:val="003B0410"/>
    <w:rsid w:val="003D3425"/>
    <w:rsid w:val="003D5C82"/>
    <w:rsid w:val="003E4E8B"/>
    <w:rsid w:val="003F5B3D"/>
    <w:rsid w:val="00410370"/>
    <w:rsid w:val="00413E52"/>
    <w:rsid w:val="00425F0D"/>
    <w:rsid w:val="00430C39"/>
    <w:rsid w:val="004519B4"/>
    <w:rsid w:val="00453FA7"/>
    <w:rsid w:val="0047100C"/>
    <w:rsid w:val="00481DB0"/>
    <w:rsid w:val="00483A9A"/>
    <w:rsid w:val="00483EE6"/>
    <w:rsid w:val="00484A4A"/>
    <w:rsid w:val="00492DD1"/>
    <w:rsid w:val="004B12FF"/>
    <w:rsid w:val="004B7F30"/>
    <w:rsid w:val="004D6D7B"/>
    <w:rsid w:val="004E090F"/>
    <w:rsid w:val="004E28DD"/>
    <w:rsid w:val="004F4CF6"/>
    <w:rsid w:val="00510B1B"/>
    <w:rsid w:val="005132BF"/>
    <w:rsid w:val="00520DEB"/>
    <w:rsid w:val="005275DF"/>
    <w:rsid w:val="00545266"/>
    <w:rsid w:val="00550A2E"/>
    <w:rsid w:val="00566500"/>
    <w:rsid w:val="00585EAD"/>
    <w:rsid w:val="005A41B2"/>
    <w:rsid w:val="005B6655"/>
    <w:rsid w:val="005D239F"/>
    <w:rsid w:val="005F44E3"/>
    <w:rsid w:val="005F683A"/>
    <w:rsid w:val="00633733"/>
    <w:rsid w:val="006349B9"/>
    <w:rsid w:val="006368A5"/>
    <w:rsid w:val="006607F4"/>
    <w:rsid w:val="006608C6"/>
    <w:rsid w:val="00665BDD"/>
    <w:rsid w:val="006702F1"/>
    <w:rsid w:val="0067359C"/>
    <w:rsid w:val="00683723"/>
    <w:rsid w:val="00684A86"/>
    <w:rsid w:val="006856FD"/>
    <w:rsid w:val="00685C04"/>
    <w:rsid w:val="00685F04"/>
    <w:rsid w:val="00691BEF"/>
    <w:rsid w:val="006A0238"/>
    <w:rsid w:val="006A45BF"/>
    <w:rsid w:val="006A613C"/>
    <w:rsid w:val="006C15E6"/>
    <w:rsid w:val="006F58AA"/>
    <w:rsid w:val="00707047"/>
    <w:rsid w:val="00723312"/>
    <w:rsid w:val="00723FA4"/>
    <w:rsid w:val="0072727A"/>
    <w:rsid w:val="007403AB"/>
    <w:rsid w:val="00741D2A"/>
    <w:rsid w:val="00762441"/>
    <w:rsid w:val="007803D6"/>
    <w:rsid w:val="00792BEC"/>
    <w:rsid w:val="007A66CF"/>
    <w:rsid w:val="007B5F5F"/>
    <w:rsid w:val="007B6651"/>
    <w:rsid w:val="007C15CD"/>
    <w:rsid w:val="007C4B9B"/>
    <w:rsid w:val="007D5E49"/>
    <w:rsid w:val="00800C3F"/>
    <w:rsid w:val="0081614A"/>
    <w:rsid w:val="00823E2E"/>
    <w:rsid w:val="00845C68"/>
    <w:rsid w:val="0085639B"/>
    <w:rsid w:val="00875826"/>
    <w:rsid w:val="0088125B"/>
    <w:rsid w:val="00882E71"/>
    <w:rsid w:val="008A107E"/>
    <w:rsid w:val="008B203C"/>
    <w:rsid w:val="008C6456"/>
    <w:rsid w:val="008E0E78"/>
    <w:rsid w:val="008F1C76"/>
    <w:rsid w:val="008F2E5B"/>
    <w:rsid w:val="008F737D"/>
    <w:rsid w:val="009125A4"/>
    <w:rsid w:val="00925075"/>
    <w:rsid w:val="00930CCF"/>
    <w:rsid w:val="00935A97"/>
    <w:rsid w:val="009404B7"/>
    <w:rsid w:val="00967122"/>
    <w:rsid w:val="00980ACC"/>
    <w:rsid w:val="00987B06"/>
    <w:rsid w:val="0099241A"/>
    <w:rsid w:val="00993A0B"/>
    <w:rsid w:val="009D3DF0"/>
    <w:rsid w:val="009D61FF"/>
    <w:rsid w:val="009E27FF"/>
    <w:rsid w:val="009F2B24"/>
    <w:rsid w:val="009F4E18"/>
    <w:rsid w:val="00A16BA5"/>
    <w:rsid w:val="00A230B6"/>
    <w:rsid w:val="00A32386"/>
    <w:rsid w:val="00A343C1"/>
    <w:rsid w:val="00A34827"/>
    <w:rsid w:val="00A550E8"/>
    <w:rsid w:val="00A56965"/>
    <w:rsid w:val="00A6587F"/>
    <w:rsid w:val="00A67A1E"/>
    <w:rsid w:val="00A72C1C"/>
    <w:rsid w:val="00A90169"/>
    <w:rsid w:val="00AA4FBC"/>
    <w:rsid w:val="00AB7B0E"/>
    <w:rsid w:val="00AC27A7"/>
    <w:rsid w:val="00AC38DB"/>
    <w:rsid w:val="00AC654A"/>
    <w:rsid w:val="00AD59E3"/>
    <w:rsid w:val="00B0347E"/>
    <w:rsid w:val="00B06FD7"/>
    <w:rsid w:val="00B1620F"/>
    <w:rsid w:val="00B314D8"/>
    <w:rsid w:val="00B3326E"/>
    <w:rsid w:val="00B37F78"/>
    <w:rsid w:val="00B4247F"/>
    <w:rsid w:val="00B91154"/>
    <w:rsid w:val="00BA20BB"/>
    <w:rsid w:val="00BA2568"/>
    <w:rsid w:val="00BA2E3B"/>
    <w:rsid w:val="00BB6EDB"/>
    <w:rsid w:val="00BC7357"/>
    <w:rsid w:val="00BE384A"/>
    <w:rsid w:val="00BF166E"/>
    <w:rsid w:val="00BF6019"/>
    <w:rsid w:val="00C01196"/>
    <w:rsid w:val="00C1484E"/>
    <w:rsid w:val="00C326B0"/>
    <w:rsid w:val="00C506C0"/>
    <w:rsid w:val="00C64EFE"/>
    <w:rsid w:val="00C72BAD"/>
    <w:rsid w:val="00C736DC"/>
    <w:rsid w:val="00C73A4B"/>
    <w:rsid w:val="00C83237"/>
    <w:rsid w:val="00C83281"/>
    <w:rsid w:val="00C87AE4"/>
    <w:rsid w:val="00C9675E"/>
    <w:rsid w:val="00C97E18"/>
    <w:rsid w:val="00CA4A4C"/>
    <w:rsid w:val="00CB0B7D"/>
    <w:rsid w:val="00CB5F32"/>
    <w:rsid w:val="00CB6A6E"/>
    <w:rsid w:val="00CC0104"/>
    <w:rsid w:val="00CD28C3"/>
    <w:rsid w:val="00CD6F81"/>
    <w:rsid w:val="00CF6B83"/>
    <w:rsid w:val="00D1411F"/>
    <w:rsid w:val="00D35FE5"/>
    <w:rsid w:val="00D57D64"/>
    <w:rsid w:val="00D671B6"/>
    <w:rsid w:val="00D719BD"/>
    <w:rsid w:val="00DA1EEA"/>
    <w:rsid w:val="00DC05F4"/>
    <w:rsid w:val="00DF71B0"/>
    <w:rsid w:val="00E0648D"/>
    <w:rsid w:val="00E070C2"/>
    <w:rsid w:val="00E24E89"/>
    <w:rsid w:val="00E541C3"/>
    <w:rsid w:val="00E80E6E"/>
    <w:rsid w:val="00EA6583"/>
    <w:rsid w:val="00EB2AA0"/>
    <w:rsid w:val="00EE03D5"/>
    <w:rsid w:val="00F02DEE"/>
    <w:rsid w:val="00F04650"/>
    <w:rsid w:val="00F15977"/>
    <w:rsid w:val="00F2102A"/>
    <w:rsid w:val="00F308A8"/>
    <w:rsid w:val="00F41A88"/>
    <w:rsid w:val="00F43B64"/>
    <w:rsid w:val="00F505C8"/>
    <w:rsid w:val="00F5548E"/>
    <w:rsid w:val="00F5573A"/>
    <w:rsid w:val="00F647BF"/>
    <w:rsid w:val="00F71A04"/>
    <w:rsid w:val="00F942E1"/>
    <w:rsid w:val="00FA4DE0"/>
    <w:rsid w:val="00FA75EE"/>
    <w:rsid w:val="00FB1E75"/>
    <w:rsid w:val="00FB4841"/>
    <w:rsid w:val="00FC06C7"/>
    <w:rsid w:val="00FF57AB"/>
    <w:rsid w:val="033E628C"/>
    <w:rsid w:val="03B23D15"/>
    <w:rsid w:val="06A23348"/>
    <w:rsid w:val="06DC3C57"/>
    <w:rsid w:val="06F73A88"/>
    <w:rsid w:val="0C295083"/>
    <w:rsid w:val="0D4F4685"/>
    <w:rsid w:val="10D80BED"/>
    <w:rsid w:val="11B1632A"/>
    <w:rsid w:val="14903418"/>
    <w:rsid w:val="160A206E"/>
    <w:rsid w:val="1B1A3A7D"/>
    <w:rsid w:val="1D6F2DC1"/>
    <w:rsid w:val="1E0E3B28"/>
    <w:rsid w:val="21B25218"/>
    <w:rsid w:val="22074248"/>
    <w:rsid w:val="23671554"/>
    <w:rsid w:val="24127928"/>
    <w:rsid w:val="273A4F9A"/>
    <w:rsid w:val="2AA82F89"/>
    <w:rsid w:val="2B6F7FCE"/>
    <w:rsid w:val="2C4618E3"/>
    <w:rsid w:val="2D0E1D09"/>
    <w:rsid w:val="2DDA2A2E"/>
    <w:rsid w:val="2F4F4A5F"/>
    <w:rsid w:val="30FE344F"/>
    <w:rsid w:val="315E5035"/>
    <w:rsid w:val="329D4827"/>
    <w:rsid w:val="331630F1"/>
    <w:rsid w:val="34F53105"/>
    <w:rsid w:val="352156C4"/>
    <w:rsid w:val="35F545CD"/>
    <w:rsid w:val="377949A7"/>
    <w:rsid w:val="391D2EBD"/>
    <w:rsid w:val="39E24880"/>
    <w:rsid w:val="3AC30186"/>
    <w:rsid w:val="3E235138"/>
    <w:rsid w:val="3FCC255F"/>
    <w:rsid w:val="416D2B39"/>
    <w:rsid w:val="430B0717"/>
    <w:rsid w:val="45051C57"/>
    <w:rsid w:val="4532258C"/>
    <w:rsid w:val="45D72DA3"/>
    <w:rsid w:val="46787929"/>
    <w:rsid w:val="47BE76B2"/>
    <w:rsid w:val="48036768"/>
    <w:rsid w:val="497B4600"/>
    <w:rsid w:val="4B0B458A"/>
    <w:rsid w:val="4DDE5647"/>
    <w:rsid w:val="4E2108CC"/>
    <w:rsid w:val="4FD523BB"/>
    <w:rsid w:val="5530389A"/>
    <w:rsid w:val="57D47865"/>
    <w:rsid w:val="596F78CB"/>
    <w:rsid w:val="5AC27A3D"/>
    <w:rsid w:val="5BAF2DF2"/>
    <w:rsid w:val="5C627FA5"/>
    <w:rsid w:val="5C7E469E"/>
    <w:rsid w:val="5D4F2E7E"/>
    <w:rsid w:val="5E3A2D30"/>
    <w:rsid w:val="5E77496C"/>
    <w:rsid w:val="5F337870"/>
    <w:rsid w:val="609154E6"/>
    <w:rsid w:val="63EA470E"/>
    <w:rsid w:val="645A4273"/>
    <w:rsid w:val="6C900B34"/>
    <w:rsid w:val="70D41FD2"/>
    <w:rsid w:val="746D7C61"/>
    <w:rsid w:val="762B6F5F"/>
    <w:rsid w:val="77C74D1A"/>
    <w:rsid w:val="77EE4B0E"/>
    <w:rsid w:val="79964D6B"/>
    <w:rsid w:val="7E9275E5"/>
    <w:rsid w:val="7F3706F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iPriority="99" w:semiHidden="0"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53"/>
    <w:qFormat/>
    <w:uiPriority w:val="99"/>
    <w:pPr>
      <w:keepNext/>
      <w:keepLines/>
      <w:widowControl/>
      <w:spacing w:before="340" w:after="330"/>
      <w:jc w:val="left"/>
      <w:outlineLvl w:val="0"/>
    </w:pPr>
    <w:rPr>
      <w:rFonts w:ascii="宋体" w:hAnsi="Times New Roman" w:cs="宋体"/>
      <w:kern w:val="0"/>
      <w:sz w:val="28"/>
      <w:szCs w:val="28"/>
    </w:rPr>
  </w:style>
  <w:style w:type="paragraph" w:styleId="4">
    <w:name w:val="heading 2"/>
    <w:basedOn w:val="1"/>
    <w:next w:val="1"/>
    <w:link w:val="54"/>
    <w:qFormat/>
    <w:uiPriority w:val="99"/>
    <w:pPr>
      <w:numPr>
        <w:ilvl w:val="1"/>
        <w:numId w:val="1"/>
      </w:numPr>
      <w:spacing w:before="260"/>
      <w:jc w:val="left"/>
      <w:outlineLvl w:val="1"/>
    </w:pPr>
    <w:rPr>
      <w:rFonts w:ascii="宋体" w:hAnsi="Arial" w:cs="宋体"/>
      <w:kern w:val="0"/>
      <w:sz w:val="28"/>
      <w:szCs w:val="28"/>
    </w:rPr>
  </w:style>
  <w:style w:type="paragraph" w:styleId="5">
    <w:name w:val="heading 3"/>
    <w:basedOn w:val="1"/>
    <w:next w:val="1"/>
    <w:link w:val="55"/>
    <w:qFormat/>
    <w:uiPriority w:val="99"/>
    <w:pPr>
      <w:keepNext/>
      <w:keepLines/>
      <w:widowControl/>
      <w:numPr>
        <w:ilvl w:val="2"/>
        <w:numId w:val="1"/>
      </w:numPr>
      <w:spacing w:before="260" w:after="260" w:line="416" w:lineRule="auto"/>
      <w:jc w:val="left"/>
      <w:outlineLvl w:val="2"/>
    </w:pPr>
    <w:rPr>
      <w:rFonts w:ascii="Times New Roman" w:hAnsi="Times New Roman" w:cs="Times New Roman"/>
      <w:b/>
      <w:bCs/>
      <w:kern w:val="0"/>
      <w:sz w:val="32"/>
      <w:szCs w:val="32"/>
    </w:rPr>
  </w:style>
  <w:style w:type="paragraph" w:styleId="6">
    <w:name w:val="heading 4"/>
    <w:basedOn w:val="1"/>
    <w:next w:val="1"/>
    <w:link w:val="56"/>
    <w:qFormat/>
    <w:uiPriority w:val="99"/>
    <w:pPr>
      <w:keepNext/>
      <w:keepLines/>
      <w:widowControl/>
      <w:numPr>
        <w:ilvl w:val="3"/>
        <w:numId w:val="1"/>
      </w:numPr>
      <w:spacing w:before="280" w:after="290" w:line="376" w:lineRule="auto"/>
      <w:jc w:val="left"/>
      <w:outlineLvl w:val="3"/>
    </w:pPr>
    <w:rPr>
      <w:rFonts w:ascii="Arial" w:hAnsi="Arial" w:eastAsia="黑体" w:cs="Arial"/>
      <w:b/>
      <w:bCs/>
      <w:kern w:val="0"/>
      <w:sz w:val="28"/>
      <w:szCs w:val="28"/>
    </w:rPr>
  </w:style>
  <w:style w:type="paragraph" w:styleId="7">
    <w:name w:val="heading 5"/>
    <w:basedOn w:val="1"/>
    <w:next w:val="1"/>
    <w:link w:val="57"/>
    <w:qFormat/>
    <w:uiPriority w:val="99"/>
    <w:pPr>
      <w:keepNext/>
      <w:keepLines/>
      <w:widowControl/>
      <w:numPr>
        <w:ilvl w:val="4"/>
        <w:numId w:val="1"/>
      </w:numPr>
      <w:spacing w:before="280" w:after="290" w:line="376" w:lineRule="auto"/>
      <w:jc w:val="left"/>
      <w:outlineLvl w:val="4"/>
    </w:pPr>
    <w:rPr>
      <w:rFonts w:ascii="Times New Roman" w:hAnsi="Times New Roman" w:cs="Times New Roman"/>
      <w:b/>
      <w:bCs/>
      <w:kern w:val="0"/>
      <w:sz w:val="28"/>
      <w:szCs w:val="28"/>
    </w:rPr>
  </w:style>
  <w:style w:type="paragraph" w:styleId="8">
    <w:name w:val="heading 6"/>
    <w:basedOn w:val="1"/>
    <w:next w:val="1"/>
    <w:link w:val="58"/>
    <w:qFormat/>
    <w:uiPriority w:val="99"/>
    <w:pPr>
      <w:keepNext/>
      <w:keepLines/>
      <w:widowControl/>
      <w:numPr>
        <w:ilvl w:val="5"/>
        <w:numId w:val="1"/>
      </w:numPr>
      <w:spacing w:before="240" w:after="64" w:line="320" w:lineRule="auto"/>
      <w:jc w:val="left"/>
      <w:outlineLvl w:val="5"/>
    </w:pPr>
    <w:rPr>
      <w:rFonts w:ascii="Arial" w:hAnsi="Arial" w:eastAsia="黑体" w:cs="Arial"/>
      <w:b/>
      <w:bCs/>
      <w:kern w:val="0"/>
      <w:sz w:val="24"/>
      <w:szCs w:val="24"/>
    </w:rPr>
  </w:style>
  <w:style w:type="paragraph" w:styleId="9">
    <w:name w:val="heading 7"/>
    <w:basedOn w:val="1"/>
    <w:next w:val="1"/>
    <w:link w:val="59"/>
    <w:qFormat/>
    <w:uiPriority w:val="99"/>
    <w:pPr>
      <w:keepNext/>
      <w:keepLines/>
      <w:widowControl/>
      <w:numPr>
        <w:ilvl w:val="6"/>
        <w:numId w:val="1"/>
      </w:numPr>
      <w:spacing w:before="240" w:after="64" w:line="320" w:lineRule="auto"/>
      <w:jc w:val="left"/>
      <w:outlineLvl w:val="6"/>
    </w:pPr>
    <w:rPr>
      <w:rFonts w:ascii="Times New Roman" w:hAnsi="Times New Roman" w:cs="Times New Roman"/>
      <w:b/>
      <w:bCs/>
      <w:kern w:val="0"/>
      <w:sz w:val="24"/>
      <w:szCs w:val="24"/>
    </w:rPr>
  </w:style>
  <w:style w:type="paragraph" w:styleId="10">
    <w:name w:val="heading 8"/>
    <w:basedOn w:val="1"/>
    <w:next w:val="1"/>
    <w:link w:val="60"/>
    <w:qFormat/>
    <w:uiPriority w:val="99"/>
    <w:pPr>
      <w:keepNext/>
      <w:keepLines/>
      <w:widowControl/>
      <w:numPr>
        <w:ilvl w:val="7"/>
        <w:numId w:val="1"/>
      </w:numPr>
      <w:spacing w:before="240" w:after="64" w:line="320" w:lineRule="auto"/>
      <w:jc w:val="left"/>
      <w:outlineLvl w:val="7"/>
    </w:pPr>
    <w:rPr>
      <w:rFonts w:ascii="Arial" w:hAnsi="Arial" w:eastAsia="黑体" w:cs="Arial"/>
      <w:kern w:val="0"/>
      <w:sz w:val="24"/>
      <w:szCs w:val="24"/>
    </w:rPr>
  </w:style>
  <w:style w:type="paragraph" w:styleId="11">
    <w:name w:val="heading 9"/>
    <w:basedOn w:val="1"/>
    <w:next w:val="1"/>
    <w:link w:val="61"/>
    <w:qFormat/>
    <w:uiPriority w:val="99"/>
    <w:pPr>
      <w:keepNext/>
      <w:keepLines/>
      <w:widowControl/>
      <w:numPr>
        <w:ilvl w:val="8"/>
        <w:numId w:val="1"/>
      </w:numPr>
      <w:spacing w:before="240" w:after="64" w:line="320" w:lineRule="auto"/>
      <w:jc w:val="left"/>
      <w:outlineLvl w:val="8"/>
    </w:pPr>
    <w:rPr>
      <w:rFonts w:ascii="Arial" w:hAnsi="Arial" w:eastAsia="黑体" w:cs="Arial"/>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12">
    <w:name w:val="toc 7"/>
    <w:basedOn w:val="1"/>
    <w:next w:val="1"/>
    <w:semiHidden/>
    <w:qFormat/>
    <w:uiPriority w:val="99"/>
    <w:pPr>
      <w:ind w:left="2520" w:leftChars="1200"/>
    </w:pPr>
  </w:style>
  <w:style w:type="paragraph" w:styleId="13">
    <w:name w:val="Normal Indent"/>
    <w:basedOn w:val="1"/>
    <w:next w:val="1"/>
    <w:qFormat/>
    <w:uiPriority w:val="99"/>
    <w:pPr>
      <w:ind w:firstLine="420"/>
    </w:pPr>
    <w:rPr>
      <w:rFonts w:ascii="Times New Roman" w:hAnsi="Times New Roman" w:cs="Times New Roman"/>
    </w:rPr>
  </w:style>
  <w:style w:type="paragraph" w:styleId="14">
    <w:name w:val="List Bullet"/>
    <w:basedOn w:val="1"/>
    <w:qFormat/>
    <w:uiPriority w:val="99"/>
    <w:pPr>
      <w:tabs>
        <w:tab w:val="left" w:pos="360"/>
      </w:tabs>
      <w:ind w:left="360" w:hanging="360" w:hangingChars="200"/>
    </w:pPr>
    <w:rPr>
      <w:rFonts w:ascii="Times New Roman" w:hAnsi="Times New Roman" w:cs="Times New Roman"/>
    </w:rPr>
  </w:style>
  <w:style w:type="paragraph" w:styleId="15">
    <w:name w:val="Document Map"/>
    <w:basedOn w:val="1"/>
    <w:link w:val="62"/>
    <w:semiHidden/>
    <w:qFormat/>
    <w:uiPriority w:val="99"/>
    <w:pPr>
      <w:shd w:val="clear" w:color="auto" w:fill="000080"/>
    </w:pPr>
    <w:rPr>
      <w:rFonts w:ascii="Times New Roman" w:hAnsi="Times New Roman" w:cs="Times New Roman"/>
      <w:kern w:val="0"/>
      <w:sz w:val="24"/>
      <w:szCs w:val="24"/>
    </w:rPr>
  </w:style>
  <w:style w:type="paragraph" w:styleId="16">
    <w:name w:val="annotation text"/>
    <w:basedOn w:val="1"/>
    <w:link w:val="63"/>
    <w:semiHidden/>
    <w:qFormat/>
    <w:uiPriority w:val="99"/>
    <w:pPr>
      <w:jc w:val="left"/>
    </w:pPr>
    <w:rPr>
      <w:rFonts w:ascii="Times New Roman" w:hAnsi="Times New Roman" w:cs="Times New Roman"/>
      <w:kern w:val="0"/>
      <w:sz w:val="24"/>
      <w:szCs w:val="24"/>
    </w:rPr>
  </w:style>
  <w:style w:type="paragraph" w:styleId="17">
    <w:name w:val="Body Text 3"/>
    <w:basedOn w:val="1"/>
    <w:link w:val="64"/>
    <w:qFormat/>
    <w:uiPriority w:val="99"/>
    <w:pPr>
      <w:spacing w:after="120"/>
    </w:pPr>
    <w:rPr>
      <w:rFonts w:ascii="Times New Roman" w:hAnsi="Times New Roman" w:cs="Times New Roman"/>
      <w:kern w:val="0"/>
      <w:sz w:val="16"/>
      <w:szCs w:val="16"/>
    </w:rPr>
  </w:style>
  <w:style w:type="paragraph" w:styleId="18">
    <w:name w:val="Body Text"/>
    <w:basedOn w:val="1"/>
    <w:next w:val="1"/>
    <w:link w:val="65"/>
    <w:qFormat/>
    <w:uiPriority w:val="99"/>
    <w:pPr>
      <w:spacing w:after="120"/>
    </w:pPr>
    <w:rPr>
      <w:rFonts w:ascii="Times New Roman" w:hAnsi="Times New Roman" w:cs="Times New Roman"/>
      <w:kern w:val="0"/>
      <w:sz w:val="24"/>
      <w:szCs w:val="24"/>
    </w:rPr>
  </w:style>
  <w:style w:type="paragraph" w:styleId="19">
    <w:name w:val="Body Text Indent"/>
    <w:basedOn w:val="1"/>
    <w:next w:val="20"/>
    <w:link w:val="66"/>
    <w:qFormat/>
    <w:uiPriority w:val="99"/>
    <w:pPr>
      <w:ind w:firstLine="630"/>
    </w:pPr>
    <w:rPr>
      <w:rFonts w:ascii="宋体" w:hAnsi="Times New Roman" w:cs="Times New Roman"/>
      <w:kern w:val="0"/>
      <w:sz w:val="20"/>
      <w:szCs w:val="20"/>
    </w:rPr>
  </w:style>
  <w:style w:type="paragraph" w:styleId="20">
    <w:name w:val="envelope return"/>
    <w:basedOn w:val="1"/>
    <w:qFormat/>
    <w:uiPriority w:val="0"/>
    <w:pPr>
      <w:snapToGrid w:val="0"/>
    </w:pPr>
    <w:rPr>
      <w:rFonts w:ascii="Arial" w:hAnsi="Arial" w:cs="Arial"/>
    </w:rPr>
  </w:style>
  <w:style w:type="paragraph" w:styleId="21">
    <w:name w:val="List Bullet 2"/>
    <w:basedOn w:val="14"/>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2">
    <w:name w:val="toc 5"/>
    <w:basedOn w:val="1"/>
    <w:next w:val="1"/>
    <w:semiHidden/>
    <w:qFormat/>
    <w:uiPriority w:val="99"/>
    <w:pPr>
      <w:ind w:left="1680" w:leftChars="800"/>
    </w:pPr>
  </w:style>
  <w:style w:type="paragraph" w:styleId="23">
    <w:name w:val="toc 3"/>
    <w:basedOn w:val="1"/>
    <w:next w:val="1"/>
    <w:qFormat/>
    <w:uiPriority w:val="39"/>
    <w:pPr>
      <w:widowControl/>
      <w:spacing w:after="100" w:line="276" w:lineRule="auto"/>
      <w:ind w:left="440"/>
      <w:jc w:val="left"/>
    </w:pPr>
    <w:rPr>
      <w:kern w:val="0"/>
      <w:sz w:val="22"/>
      <w:szCs w:val="22"/>
    </w:rPr>
  </w:style>
  <w:style w:type="paragraph" w:styleId="24">
    <w:name w:val="Plain Text"/>
    <w:basedOn w:val="1"/>
    <w:link w:val="67"/>
    <w:qFormat/>
    <w:uiPriority w:val="99"/>
    <w:rPr>
      <w:rFonts w:ascii="宋体" w:hAnsi="Courier New" w:cs="Times New Roman"/>
      <w:kern w:val="0"/>
      <w:sz w:val="20"/>
      <w:szCs w:val="20"/>
    </w:rPr>
  </w:style>
  <w:style w:type="paragraph" w:styleId="25">
    <w:name w:val="toc 8"/>
    <w:basedOn w:val="1"/>
    <w:next w:val="1"/>
    <w:semiHidden/>
    <w:qFormat/>
    <w:uiPriority w:val="99"/>
    <w:pPr>
      <w:ind w:left="2940" w:leftChars="1400"/>
    </w:pPr>
  </w:style>
  <w:style w:type="paragraph" w:styleId="26">
    <w:name w:val="Date"/>
    <w:basedOn w:val="1"/>
    <w:next w:val="1"/>
    <w:link w:val="68"/>
    <w:qFormat/>
    <w:uiPriority w:val="99"/>
    <w:pPr>
      <w:ind w:left="100" w:leftChars="2500"/>
    </w:pPr>
    <w:rPr>
      <w:rFonts w:ascii="仿宋_GB2312" w:hAnsi="Times New Roman" w:eastAsia="仿宋_GB2312" w:cs="Times New Roman"/>
      <w:b/>
      <w:bCs/>
      <w:kern w:val="0"/>
      <w:sz w:val="24"/>
      <w:szCs w:val="24"/>
    </w:rPr>
  </w:style>
  <w:style w:type="paragraph" w:styleId="27">
    <w:name w:val="Body Text Indent 2"/>
    <w:basedOn w:val="1"/>
    <w:link w:val="69"/>
    <w:qFormat/>
    <w:uiPriority w:val="99"/>
    <w:pPr>
      <w:tabs>
        <w:tab w:val="left" w:pos="4970"/>
      </w:tabs>
      <w:spacing w:line="360" w:lineRule="auto"/>
      <w:ind w:firstLine="480" w:firstLineChars="200"/>
    </w:pPr>
    <w:rPr>
      <w:rFonts w:ascii="Times New Roman" w:hAnsi="Times New Roman" w:cs="Times New Roman"/>
      <w:kern w:val="0"/>
      <w:sz w:val="24"/>
      <w:szCs w:val="24"/>
    </w:rPr>
  </w:style>
  <w:style w:type="paragraph" w:styleId="28">
    <w:name w:val="Balloon Text"/>
    <w:basedOn w:val="1"/>
    <w:link w:val="70"/>
    <w:semiHidden/>
    <w:qFormat/>
    <w:uiPriority w:val="99"/>
    <w:rPr>
      <w:rFonts w:ascii="Times New Roman" w:hAnsi="Times New Roman" w:cs="Times New Roman"/>
      <w:kern w:val="0"/>
      <w:sz w:val="18"/>
      <w:szCs w:val="18"/>
    </w:rPr>
  </w:style>
  <w:style w:type="paragraph" w:styleId="29">
    <w:name w:val="footer"/>
    <w:basedOn w:val="1"/>
    <w:link w:val="71"/>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30">
    <w:name w:val="header"/>
    <w:basedOn w:val="1"/>
    <w:link w:val="72"/>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31">
    <w:name w:val="toc 1"/>
    <w:basedOn w:val="1"/>
    <w:next w:val="1"/>
    <w:qFormat/>
    <w:uiPriority w:val="39"/>
    <w:pPr>
      <w:tabs>
        <w:tab w:val="right" w:leader="dot" w:pos="9639"/>
      </w:tabs>
      <w:spacing w:line="360" w:lineRule="auto"/>
      <w:ind w:left="424" w:leftChars="202" w:right="170" w:rightChars="81"/>
      <w:jc w:val="center"/>
    </w:pPr>
    <w:rPr>
      <w:rFonts w:ascii="仿宋" w:hAnsi="仿宋" w:eastAsia="仿宋" w:cs="仿宋"/>
      <w:spacing w:val="80"/>
      <w:sz w:val="24"/>
      <w:szCs w:val="24"/>
    </w:rPr>
  </w:style>
  <w:style w:type="paragraph" w:styleId="32">
    <w:name w:val="toc 4"/>
    <w:basedOn w:val="1"/>
    <w:next w:val="1"/>
    <w:semiHidden/>
    <w:qFormat/>
    <w:uiPriority w:val="99"/>
    <w:pPr>
      <w:ind w:left="1260" w:leftChars="600"/>
    </w:pPr>
  </w:style>
  <w:style w:type="paragraph" w:styleId="33">
    <w:name w:val="Subtitle"/>
    <w:basedOn w:val="1"/>
    <w:next w:val="1"/>
    <w:link w:val="73"/>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34">
    <w:name w:val="toc 6"/>
    <w:basedOn w:val="1"/>
    <w:next w:val="1"/>
    <w:semiHidden/>
    <w:qFormat/>
    <w:uiPriority w:val="99"/>
    <w:pPr>
      <w:ind w:left="2100" w:leftChars="1000"/>
    </w:pPr>
  </w:style>
  <w:style w:type="paragraph" w:styleId="35">
    <w:name w:val="Body Text Indent 3"/>
    <w:basedOn w:val="1"/>
    <w:link w:val="74"/>
    <w:qFormat/>
    <w:uiPriority w:val="99"/>
    <w:pPr>
      <w:spacing w:line="360" w:lineRule="auto"/>
      <w:ind w:left="1978" w:leftChars="942"/>
    </w:pPr>
    <w:rPr>
      <w:rFonts w:ascii="Times New Roman" w:hAnsi="宋体" w:cs="Times New Roman"/>
      <w:kern w:val="0"/>
      <w:sz w:val="24"/>
      <w:szCs w:val="24"/>
    </w:rPr>
  </w:style>
  <w:style w:type="paragraph" w:styleId="36">
    <w:name w:val="toc 2"/>
    <w:basedOn w:val="1"/>
    <w:next w:val="1"/>
    <w:qFormat/>
    <w:uiPriority w:val="39"/>
    <w:pPr>
      <w:ind w:left="420" w:leftChars="200"/>
    </w:pPr>
    <w:rPr>
      <w:rFonts w:ascii="Times New Roman" w:hAnsi="Times New Roman" w:cs="Times New Roman"/>
    </w:rPr>
  </w:style>
  <w:style w:type="paragraph" w:styleId="37">
    <w:name w:val="toc 9"/>
    <w:basedOn w:val="1"/>
    <w:next w:val="1"/>
    <w:semiHidden/>
    <w:qFormat/>
    <w:uiPriority w:val="99"/>
    <w:pPr>
      <w:ind w:left="3360" w:leftChars="1600"/>
    </w:pPr>
  </w:style>
  <w:style w:type="paragraph" w:styleId="38">
    <w:name w:val="Body Text 2"/>
    <w:basedOn w:val="1"/>
    <w:link w:val="75"/>
    <w:qFormat/>
    <w:uiPriority w:val="99"/>
    <w:rPr>
      <w:rFonts w:ascii="Times New Roman" w:hAnsi="Times New Roman" w:eastAsia="楷体_GB2312" w:cs="Times New Roman"/>
      <w:b/>
      <w:bCs/>
      <w:kern w:val="0"/>
      <w:sz w:val="24"/>
      <w:szCs w:val="24"/>
    </w:rPr>
  </w:style>
  <w:style w:type="paragraph" w:styleId="39">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6"/>
    <w:qFormat/>
    <w:uiPriority w:val="99"/>
    <w:pPr>
      <w:widowControl/>
      <w:spacing w:before="60" w:after="60"/>
      <w:jc w:val="center"/>
      <w:outlineLvl w:val="0"/>
    </w:pPr>
    <w:rPr>
      <w:rFonts w:ascii="Cambria" w:hAnsi="Cambria" w:cs="Times New Roman"/>
      <w:b/>
      <w:bCs/>
      <w:kern w:val="0"/>
      <w:sz w:val="20"/>
      <w:szCs w:val="20"/>
    </w:rPr>
  </w:style>
  <w:style w:type="paragraph" w:styleId="41">
    <w:name w:val="annotation subject"/>
    <w:basedOn w:val="16"/>
    <w:next w:val="16"/>
    <w:link w:val="77"/>
    <w:semiHidden/>
    <w:qFormat/>
    <w:uiPriority w:val="99"/>
    <w:rPr>
      <w:b/>
      <w:bCs/>
    </w:rPr>
  </w:style>
  <w:style w:type="paragraph" w:styleId="42">
    <w:name w:val="Body Text First Indent"/>
    <w:basedOn w:val="18"/>
    <w:qFormat/>
    <w:uiPriority w:val="0"/>
    <w:pPr>
      <w:spacing w:line="312" w:lineRule="auto"/>
      <w:ind w:firstLine="420"/>
    </w:pPr>
  </w:style>
  <w:style w:type="paragraph" w:styleId="43">
    <w:name w:val="Body Text First Indent 2"/>
    <w:basedOn w:val="19"/>
    <w:qFormat/>
    <w:uiPriority w:val="0"/>
    <w:pPr>
      <w:spacing w:after="120"/>
      <w:ind w:left="420" w:leftChars="200" w:firstLine="420" w:firstLineChars="200"/>
    </w:pPr>
    <w:rPr>
      <w:rFonts w:ascii="Times New Roman"/>
      <w:kern w:val="2"/>
      <w:sz w:val="21"/>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b/>
      <w:bCs/>
    </w:rPr>
  </w:style>
  <w:style w:type="character" w:styleId="48">
    <w:name w:val="page number"/>
    <w:basedOn w:val="46"/>
    <w:qFormat/>
    <w:uiPriority w:val="99"/>
  </w:style>
  <w:style w:type="character" w:styleId="49">
    <w:name w:val="FollowedHyperlink"/>
    <w:semiHidden/>
    <w:qFormat/>
    <w:uiPriority w:val="99"/>
    <w:rPr>
      <w:color w:val="800080"/>
      <w:u w:val="single"/>
    </w:rPr>
  </w:style>
  <w:style w:type="character" w:styleId="50">
    <w:name w:val="Hyperlink"/>
    <w:qFormat/>
    <w:uiPriority w:val="99"/>
    <w:rPr>
      <w:color w:val="0000FF"/>
      <w:u w:val="single"/>
    </w:rPr>
  </w:style>
  <w:style w:type="character" w:styleId="51">
    <w:name w:val="annotation reference"/>
    <w:semiHidden/>
    <w:qFormat/>
    <w:uiPriority w:val="99"/>
    <w:rPr>
      <w:sz w:val="21"/>
      <w:szCs w:val="21"/>
    </w:rPr>
  </w:style>
  <w:style w:type="paragraph" w:customStyle="1" w:styleId="52">
    <w:name w:val="首行缩进"/>
    <w:basedOn w:val="1"/>
    <w:qFormat/>
    <w:uiPriority w:val="0"/>
    <w:pPr>
      <w:spacing w:line="300" w:lineRule="auto"/>
      <w:ind w:firstLine="420" w:firstLineChars="200"/>
    </w:pPr>
    <w:rPr>
      <w:rFonts w:eastAsia="方正书宋简体"/>
      <w:szCs w:val="20"/>
    </w:rPr>
  </w:style>
  <w:style w:type="character" w:customStyle="1" w:styleId="53">
    <w:name w:val="标题 1 Char"/>
    <w:link w:val="3"/>
    <w:qFormat/>
    <w:locked/>
    <w:uiPriority w:val="99"/>
    <w:rPr>
      <w:rFonts w:ascii="宋体" w:eastAsia="宋体" w:cs="宋体"/>
      <w:sz w:val="28"/>
      <w:szCs w:val="28"/>
      <w:lang w:val="en-US" w:eastAsia="zh-CN" w:bidi="ar-SA"/>
    </w:rPr>
  </w:style>
  <w:style w:type="character" w:customStyle="1" w:styleId="54">
    <w:name w:val="标题 2 Char"/>
    <w:link w:val="4"/>
    <w:qFormat/>
    <w:locked/>
    <w:uiPriority w:val="99"/>
    <w:rPr>
      <w:rFonts w:ascii="宋体" w:hAnsi="Arial" w:eastAsia="宋体" w:cs="宋体"/>
      <w:sz w:val="28"/>
      <w:szCs w:val="28"/>
      <w:lang w:val="en-US" w:eastAsia="zh-CN" w:bidi="ar-SA"/>
    </w:rPr>
  </w:style>
  <w:style w:type="character" w:customStyle="1" w:styleId="55">
    <w:name w:val="标题 3 Char"/>
    <w:link w:val="5"/>
    <w:qFormat/>
    <w:locked/>
    <w:uiPriority w:val="99"/>
    <w:rPr>
      <w:rFonts w:eastAsia="宋体"/>
      <w:b/>
      <w:bCs/>
      <w:sz w:val="32"/>
      <w:szCs w:val="32"/>
      <w:lang w:val="en-US" w:eastAsia="zh-CN" w:bidi="ar-SA"/>
    </w:rPr>
  </w:style>
  <w:style w:type="character" w:customStyle="1" w:styleId="56">
    <w:name w:val="标题 4 Char"/>
    <w:link w:val="6"/>
    <w:qFormat/>
    <w:locked/>
    <w:uiPriority w:val="99"/>
    <w:rPr>
      <w:rFonts w:ascii="Arial" w:hAnsi="Arial" w:eastAsia="黑体" w:cs="Arial"/>
      <w:b/>
      <w:bCs/>
      <w:sz w:val="28"/>
      <w:szCs w:val="28"/>
      <w:lang w:val="en-US" w:eastAsia="zh-CN" w:bidi="ar-SA"/>
    </w:rPr>
  </w:style>
  <w:style w:type="character" w:customStyle="1" w:styleId="57">
    <w:name w:val="标题 5 Char"/>
    <w:link w:val="7"/>
    <w:qFormat/>
    <w:locked/>
    <w:uiPriority w:val="99"/>
    <w:rPr>
      <w:rFonts w:eastAsia="宋体"/>
      <w:b/>
      <w:bCs/>
      <w:sz w:val="28"/>
      <w:szCs w:val="28"/>
      <w:lang w:val="en-US" w:eastAsia="zh-CN" w:bidi="ar-SA"/>
    </w:rPr>
  </w:style>
  <w:style w:type="character" w:customStyle="1" w:styleId="58">
    <w:name w:val="标题 6 Char"/>
    <w:link w:val="8"/>
    <w:qFormat/>
    <w:locked/>
    <w:uiPriority w:val="99"/>
    <w:rPr>
      <w:rFonts w:ascii="Arial" w:hAnsi="Arial" w:eastAsia="黑体" w:cs="Arial"/>
      <w:b/>
      <w:bCs/>
      <w:sz w:val="24"/>
      <w:szCs w:val="24"/>
      <w:lang w:val="en-US" w:eastAsia="zh-CN" w:bidi="ar-SA"/>
    </w:rPr>
  </w:style>
  <w:style w:type="character" w:customStyle="1" w:styleId="59">
    <w:name w:val="标题 7 Char"/>
    <w:link w:val="9"/>
    <w:qFormat/>
    <w:locked/>
    <w:uiPriority w:val="99"/>
    <w:rPr>
      <w:rFonts w:eastAsia="宋体"/>
      <w:b/>
      <w:bCs/>
      <w:sz w:val="24"/>
      <w:szCs w:val="24"/>
      <w:lang w:val="en-US" w:eastAsia="zh-CN" w:bidi="ar-SA"/>
    </w:rPr>
  </w:style>
  <w:style w:type="character" w:customStyle="1" w:styleId="60">
    <w:name w:val="标题 8 Char"/>
    <w:link w:val="10"/>
    <w:qFormat/>
    <w:locked/>
    <w:uiPriority w:val="99"/>
    <w:rPr>
      <w:rFonts w:ascii="Arial" w:hAnsi="Arial" w:eastAsia="黑体" w:cs="Arial"/>
      <w:sz w:val="24"/>
      <w:szCs w:val="24"/>
      <w:lang w:val="en-US" w:eastAsia="zh-CN" w:bidi="ar-SA"/>
    </w:rPr>
  </w:style>
  <w:style w:type="character" w:customStyle="1" w:styleId="61">
    <w:name w:val="标题 9 Char"/>
    <w:link w:val="11"/>
    <w:qFormat/>
    <w:locked/>
    <w:uiPriority w:val="99"/>
    <w:rPr>
      <w:rFonts w:ascii="Arial" w:hAnsi="Arial" w:eastAsia="黑体" w:cs="Arial"/>
      <w:sz w:val="21"/>
      <w:szCs w:val="21"/>
      <w:lang w:val="en-US" w:eastAsia="zh-CN" w:bidi="ar-SA"/>
    </w:rPr>
  </w:style>
  <w:style w:type="character" w:customStyle="1" w:styleId="62">
    <w:name w:val="文档结构图 Char"/>
    <w:link w:val="15"/>
    <w:qFormat/>
    <w:locked/>
    <w:uiPriority w:val="99"/>
    <w:rPr>
      <w:rFonts w:ascii="Times New Roman" w:hAnsi="Times New Roman" w:eastAsia="宋体" w:cs="Times New Roman"/>
      <w:sz w:val="24"/>
      <w:szCs w:val="24"/>
      <w:shd w:val="clear" w:color="auto" w:fill="000080"/>
    </w:rPr>
  </w:style>
  <w:style w:type="character" w:customStyle="1" w:styleId="63">
    <w:name w:val="批注文字 Char"/>
    <w:link w:val="16"/>
    <w:qFormat/>
    <w:locked/>
    <w:uiPriority w:val="99"/>
    <w:rPr>
      <w:rFonts w:ascii="Times New Roman" w:hAnsi="Times New Roman" w:eastAsia="宋体" w:cs="Times New Roman"/>
      <w:sz w:val="24"/>
      <w:szCs w:val="24"/>
    </w:rPr>
  </w:style>
  <w:style w:type="character" w:customStyle="1" w:styleId="64">
    <w:name w:val="正文文本 3 Char"/>
    <w:link w:val="17"/>
    <w:qFormat/>
    <w:locked/>
    <w:uiPriority w:val="99"/>
    <w:rPr>
      <w:rFonts w:ascii="Times New Roman" w:hAnsi="Times New Roman" w:eastAsia="宋体" w:cs="Times New Roman"/>
      <w:sz w:val="16"/>
      <w:szCs w:val="16"/>
    </w:rPr>
  </w:style>
  <w:style w:type="character" w:customStyle="1" w:styleId="65">
    <w:name w:val="正文文本 Char"/>
    <w:link w:val="18"/>
    <w:qFormat/>
    <w:locked/>
    <w:uiPriority w:val="99"/>
    <w:rPr>
      <w:rFonts w:ascii="Times New Roman" w:hAnsi="Times New Roman" w:eastAsia="宋体" w:cs="Times New Roman"/>
      <w:sz w:val="24"/>
      <w:szCs w:val="24"/>
    </w:rPr>
  </w:style>
  <w:style w:type="character" w:customStyle="1" w:styleId="66">
    <w:name w:val="正文文本缩进 Char"/>
    <w:link w:val="19"/>
    <w:qFormat/>
    <w:locked/>
    <w:uiPriority w:val="99"/>
    <w:rPr>
      <w:rFonts w:ascii="宋体" w:hAnsi="Times New Roman" w:eastAsia="宋体" w:cs="宋体"/>
      <w:sz w:val="20"/>
      <w:szCs w:val="20"/>
    </w:rPr>
  </w:style>
  <w:style w:type="character" w:customStyle="1" w:styleId="67">
    <w:name w:val="纯文本 Char"/>
    <w:link w:val="24"/>
    <w:qFormat/>
    <w:locked/>
    <w:uiPriority w:val="99"/>
    <w:rPr>
      <w:rFonts w:ascii="宋体" w:hAnsi="Courier New" w:eastAsia="宋体" w:cs="宋体"/>
      <w:sz w:val="20"/>
      <w:szCs w:val="20"/>
    </w:rPr>
  </w:style>
  <w:style w:type="character" w:customStyle="1" w:styleId="68">
    <w:name w:val="日期 Char"/>
    <w:link w:val="26"/>
    <w:qFormat/>
    <w:locked/>
    <w:uiPriority w:val="99"/>
    <w:rPr>
      <w:rFonts w:ascii="仿宋_GB2312" w:hAnsi="Times New Roman" w:eastAsia="仿宋_GB2312" w:cs="仿宋_GB2312"/>
      <w:b/>
      <w:bCs/>
      <w:sz w:val="24"/>
      <w:szCs w:val="24"/>
    </w:rPr>
  </w:style>
  <w:style w:type="character" w:customStyle="1" w:styleId="69">
    <w:name w:val="正文文本缩进 2 Char"/>
    <w:link w:val="27"/>
    <w:qFormat/>
    <w:locked/>
    <w:uiPriority w:val="99"/>
    <w:rPr>
      <w:rFonts w:ascii="Times New Roman" w:hAnsi="Times New Roman" w:eastAsia="宋体" w:cs="Times New Roman"/>
      <w:sz w:val="24"/>
      <w:szCs w:val="24"/>
    </w:rPr>
  </w:style>
  <w:style w:type="character" w:customStyle="1" w:styleId="70">
    <w:name w:val="批注框文本 Char"/>
    <w:link w:val="28"/>
    <w:qFormat/>
    <w:locked/>
    <w:uiPriority w:val="99"/>
    <w:rPr>
      <w:rFonts w:ascii="Times New Roman" w:hAnsi="Times New Roman" w:eastAsia="宋体" w:cs="Times New Roman"/>
      <w:sz w:val="18"/>
      <w:szCs w:val="18"/>
    </w:rPr>
  </w:style>
  <w:style w:type="character" w:customStyle="1" w:styleId="71">
    <w:name w:val="页脚 Char"/>
    <w:link w:val="29"/>
    <w:qFormat/>
    <w:locked/>
    <w:uiPriority w:val="99"/>
    <w:rPr>
      <w:sz w:val="18"/>
      <w:szCs w:val="18"/>
    </w:rPr>
  </w:style>
  <w:style w:type="character" w:customStyle="1" w:styleId="72">
    <w:name w:val="页眉 Char"/>
    <w:link w:val="30"/>
    <w:qFormat/>
    <w:locked/>
    <w:uiPriority w:val="99"/>
    <w:rPr>
      <w:sz w:val="18"/>
      <w:szCs w:val="18"/>
    </w:rPr>
  </w:style>
  <w:style w:type="character" w:customStyle="1" w:styleId="73">
    <w:name w:val="副标题 Char"/>
    <w:link w:val="33"/>
    <w:qFormat/>
    <w:locked/>
    <w:uiPriority w:val="99"/>
    <w:rPr>
      <w:rFonts w:ascii="Calibri Light" w:hAnsi="Calibri Light" w:eastAsia="宋体" w:cs="Calibri Light"/>
      <w:b/>
      <w:bCs/>
      <w:kern w:val="28"/>
      <w:sz w:val="20"/>
      <w:szCs w:val="20"/>
    </w:rPr>
  </w:style>
  <w:style w:type="character" w:customStyle="1" w:styleId="74">
    <w:name w:val="正文文本缩进 3 Char"/>
    <w:link w:val="35"/>
    <w:qFormat/>
    <w:locked/>
    <w:uiPriority w:val="99"/>
    <w:rPr>
      <w:rFonts w:ascii="Times New Roman" w:hAnsi="宋体" w:eastAsia="宋体" w:cs="Times New Roman"/>
      <w:sz w:val="24"/>
      <w:szCs w:val="24"/>
    </w:rPr>
  </w:style>
  <w:style w:type="character" w:customStyle="1" w:styleId="75">
    <w:name w:val="正文文本 2 Char"/>
    <w:link w:val="38"/>
    <w:qFormat/>
    <w:locked/>
    <w:uiPriority w:val="99"/>
    <w:rPr>
      <w:rFonts w:ascii="Times New Roman" w:hAnsi="Times New Roman" w:eastAsia="楷体_GB2312" w:cs="Times New Roman"/>
      <w:b/>
      <w:bCs/>
      <w:sz w:val="24"/>
      <w:szCs w:val="24"/>
    </w:rPr>
  </w:style>
  <w:style w:type="character" w:customStyle="1" w:styleId="76">
    <w:name w:val="标题 Char"/>
    <w:link w:val="40"/>
    <w:qFormat/>
    <w:locked/>
    <w:uiPriority w:val="99"/>
    <w:rPr>
      <w:rFonts w:ascii="Cambria" w:hAnsi="Cambria" w:eastAsia="宋体" w:cs="Cambria"/>
      <w:b/>
      <w:bCs/>
      <w:kern w:val="0"/>
      <w:sz w:val="20"/>
      <w:szCs w:val="20"/>
    </w:rPr>
  </w:style>
  <w:style w:type="character" w:customStyle="1" w:styleId="77">
    <w:name w:val="批注主题 Char"/>
    <w:link w:val="41"/>
    <w:qFormat/>
    <w:locked/>
    <w:uiPriority w:val="99"/>
    <w:rPr>
      <w:rFonts w:ascii="Times New Roman" w:hAnsi="Times New Roman" w:eastAsia="宋体" w:cs="Times New Roman"/>
      <w:b/>
      <w:bCs/>
      <w:sz w:val="24"/>
      <w:szCs w:val="24"/>
    </w:rPr>
  </w:style>
  <w:style w:type="paragraph" w:customStyle="1" w:styleId="7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0">
    <w:name w:val="font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1">
    <w:name w:val="Intense Quote Char"/>
    <w:link w:val="82"/>
    <w:qFormat/>
    <w:locked/>
    <w:uiPriority w:val="99"/>
    <w:rPr>
      <w:b/>
      <w:bCs/>
      <w:i/>
      <w:iCs/>
      <w:color w:val="4F81BD"/>
      <w:sz w:val="22"/>
      <w:szCs w:val="22"/>
    </w:rPr>
  </w:style>
  <w:style w:type="paragraph" w:customStyle="1" w:styleId="82">
    <w:name w:val="明显引用1"/>
    <w:basedOn w:val="1"/>
    <w:next w:val="1"/>
    <w:link w:val="81"/>
    <w:qFormat/>
    <w:uiPriority w:val="99"/>
    <w:pPr>
      <w:pBdr>
        <w:bottom w:val="single" w:color="4F81BD" w:sz="4" w:space="4"/>
      </w:pBdr>
      <w:spacing w:before="200" w:after="280"/>
      <w:ind w:left="936" w:right="936"/>
    </w:pPr>
    <w:rPr>
      <w:rFonts w:ascii="Times New Roman" w:hAnsi="Times New Roman" w:cs="Times New Roman"/>
      <w:b/>
      <w:bCs/>
      <w:i/>
      <w:iCs/>
      <w:color w:val="4F81BD"/>
      <w:kern w:val="0"/>
      <w:sz w:val="22"/>
      <w:szCs w:val="22"/>
    </w:rPr>
  </w:style>
  <w:style w:type="paragraph" w:customStyle="1" w:styleId="83">
    <w:name w:val="TOC 标题1"/>
    <w:basedOn w:val="3"/>
    <w:next w:val="1"/>
    <w:qFormat/>
    <w:uiPriority w:val="99"/>
    <w:pPr>
      <w:spacing w:before="480" w:after="0" w:line="276" w:lineRule="auto"/>
      <w:outlineLvl w:val="9"/>
    </w:pPr>
    <w:rPr>
      <w:rFonts w:ascii="Cambria" w:hAnsi="Cambria" w:cs="Cambria"/>
      <w:b/>
      <w:bCs/>
      <w:color w:val="365F91"/>
    </w:rPr>
  </w:style>
  <w:style w:type="character" w:customStyle="1" w:styleId="84">
    <w:name w:val="Char Char10"/>
    <w:qFormat/>
    <w:uiPriority w:val="99"/>
    <w:rPr>
      <w:rFonts w:ascii="宋体" w:hAnsi="Courier New" w:eastAsia="宋体" w:cs="宋体"/>
      <w:kern w:val="2"/>
      <w:sz w:val="24"/>
      <w:szCs w:val="24"/>
      <w:lang w:val="en-US" w:eastAsia="zh-CN"/>
    </w:rPr>
  </w:style>
  <w:style w:type="paragraph" w:customStyle="1" w:styleId="85">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6">
    <w:name w:val="Char"/>
    <w:basedOn w:val="1"/>
    <w:next w:val="1"/>
    <w:qFormat/>
    <w:uiPriority w:val="99"/>
    <w:rPr>
      <w:rFonts w:ascii="Times New Roman" w:hAnsi="Times New Roman" w:cs="Times New Roman"/>
    </w:rPr>
  </w:style>
  <w:style w:type="paragraph" w:customStyle="1" w:styleId="87">
    <w:name w:val="Normal_0"/>
    <w:qFormat/>
    <w:uiPriority w:val="99"/>
    <w:pPr>
      <w:spacing w:before="120" w:after="240"/>
      <w:jc w:val="both"/>
    </w:pPr>
    <w:rPr>
      <w:rFonts w:ascii="Calibri" w:hAnsi="Calibri" w:eastAsia="宋体" w:cs="Calibri"/>
      <w:sz w:val="22"/>
      <w:szCs w:val="22"/>
      <w:lang w:val="ru-RU" w:eastAsia="en-US" w:bidi="ar-SA"/>
    </w:rPr>
  </w:style>
  <w:style w:type="paragraph" w:customStyle="1" w:styleId="88">
    <w:name w:val="zhang"/>
    <w:basedOn w:val="1"/>
    <w:qFormat/>
    <w:uiPriority w:val="99"/>
    <w:pPr>
      <w:widowControl/>
      <w:spacing w:beforeAutospacing="1" w:afterAutospacing="1"/>
      <w:jc w:val="left"/>
    </w:pPr>
    <w:rPr>
      <w:rFonts w:ascii="宋体" w:hAnsi="宋体" w:cs="宋体"/>
      <w:b/>
      <w:bCs/>
      <w:smallCaps/>
      <w:color w:val="000000"/>
      <w:kern w:val="0"/>
      <w:sz w:val="20"/>
      <w:szCs w:val="20"/>
    </w:rPr>
  </w:style>
  <w:style w:type="paragraph" w:customStyle="1" w:styleId="89">
    <w:name w:val="p0"/>
    <w:basedOn w:val="1"/>
    <w:link w:val="90"/>
    <w:qFormat/>
    <w:uiPriority w:val="99"/>
    <w:pPr>
      <w:widowControl/>
    </w:pPr>
    <w:rPr>
      <w:rFonts w:ascii="Times New Roman" w:hAnsi="Times New Roman" w:cs="Times New Roman"/>
      <w:kern w:val="0"/>
    </w:rPr>
  </w:style>
  <w:style w:type="character" w:customStyle="1" w:styleId="90">
    <w:name w:val="p0 Char Char"/>
    <w:link w:val="89"/>
    <w:qFormat/>
    <w:locked/>
    <w:uiPriority w:val="99"/>
    <w:rPr>
      <w:rFonts w:ascii="Times New Roman" w:hAnsi="Times New Roman" w:eastAsia="宋体" w:cs="Times New Roman"/>
      <w:kern w:val="0"/>
      <w:sz w:val="21"/>
      <w:szCs w:val="21"/>
    </w:rPr>
  </w:style>
  <w:style w:type="character" w:customStyle="1" w:styleId="91">
    <w:name w:val="textcontents1"/>
    <w:qFormat/>
    <w:uiPriority w:val="99"/>
    <w:rPr>
      <w:color w:val="000000"/>
      <w:sz w:val="22"/>
      <w:szCs w:val="22"/>
    </w:rPr>
  </w:style>
  <w:style w:type="character" w:customStyle="1" w:styleId="92">
    <w:name w:val="apple-style-span"/>
    <w:basedOn w:val="46"/>
    <w:qFormat/>
    <w:uiPriority w:val="99"/>
  </w:style>
  <w:style w:type="character" w:customStyle="1" w:styleId="93">
    <w:name w:val="textcontents"/>
    <w:basedOn w:val="46"/>
    <w:qFormat/>
    <w:uiPriority w:val="99"/>
  </w:style>
  <w:style w:type="paragraph" w:customStyle="1" w:styleId="94">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95">
    <w:name w:val="Char Char3"/>
    <w:qFormat/>
    <w:uiPriority w:val="99"/>
    <w:rPr>
      <w:rFonts w:eastAsia="宋体"/>
      <w:sz w:val="18"/>
      <w:szCs w:val="18"/>
      <w:lang w:val="en-US" w:eastAsia="zh-CN"/>
    </w:rPr>
  </w:style>
  <w:style w:type="paragraph" w:customStyle="1" w:styleId="96">
    <w:name w:val="CM31"/>
    <w:basedOn w:val="78"/>
    <w:next w:val="78"/>
    <w:qFormat/>
    <w:uiPriority w:val="99"/>
    <w:pPr>
      <w:spacing w:line="426" w:lineRule="atLeast"/>
    </w:pPr>
    <w:rPr>
      <w:color w:val="auto"/>
    </w:rPr>
  </w:style>
  <w:style w:type="paragraph" w:customStyle="1" w:styleId="97">
    <w:name w:val="CM35"/>
    <w:basedOn w:val="78"/>
    <w:next w:val="78"/>
    <w:qFormat/>
    <w:uiPriority w:val="99"/>
    <w:rPr>
      <w:color w:val="auto"/>
    </w:rPr>
  </w:style>
  <w:style w:type="paragraph" w:customStyle="1" w:styleId="98">
    <w:name w:val="CM25"/>
    <w:basedOn w:val="78"/>
    <w:next w:val="78"/>
    <w:qFormat/>
    <w:uiPriority w:val="99"/>
    <w:pPr>
      <w:spacing w:line="426" w:lineRule="atLeast"/>
    </w:pPr>
    <w:rPr>
      <w:color w:val="auto"/>
    </w:rPr>
  </w:style>
  <w:style w:type="paragraph" w:customStyle="1" w:styleId="99">
    <w:name w:val="CM5"/>
    <w:basedOn w:val="78"/>
    <w:next w:val="78"/>
    <w:qFormat/>
    <w:uiPriority w:val="99"/>
    <w:pPr>
      <w:spacing w:line="428" w:lineRule="atLeast"/>
    </w:pPr>
    <w:rPr>
      <w:color w:val="auto"/>
    </w:rPr>
  </w:style>
  <w:style w:type="paragraph" w:customStyle="1" w:styleId="100">
    <w:name w:val="CM6"/>
    <w:basedOn w:val="78"/>
    <w:next w:val="78"/>
    <w:qFormat/>
    <w:uiPriority w:val="99"/>
    <w:pPr>
      <w:spacing w:line="428" w:lineRule="atLeast"/>
    </w:pPr>
    <w:rPr>
      <w:color w:val="auto"/>
    </w:rPr>
  </w:style>
  <w:style w:type="paragraph" w:customStyle="1" w:styleId="101">
    <w:name w:val="CM39"/>
    <w:basedOn w:val="78"/>
    <w:next w:val="78"/>
    <w:qFormat/>
    <w:uiPriority w:val="99"/>
    <w:rPr>
      <w:color w:val="auto"/>
    </w:rPr>
  </w:style>
  <w:style w:type="paragraph" w:customStyle="1" w:styleId="102">
    <w:name w:val="_Style 4"/>
    <w:basedOn w:val="3"/>
    <w:next w:val="1"/>
    <w:qFormat/>
    <w:uiPriority w:val="99"/>
    <w:pPr>
      <w:widowControl w:val="0"/>
      <w:spacing w:line="576" w:lineRule="auto"/>
      <w:jc w:val="both"/>
      <w:outlineLvl w:val="9"/>
    </w:pPr>
    <w:rPr>
      <w:rFonts w:ascii="Calibri" w:hAnsi="Calibri" w:cs="Calibri"/>
      <w:b/>
      <w:bCs/>
      <w:kern w:val="44"/>
      <w:sz w:val="44"/>
      <w:szCs w:val="44"/>
    </w:rPr>
  </w:style>
  <w:style w:type="character" w:customStyle="1" w:styleId="103">
    <w:name w:val="15"/>
    <w:qFormat/>
    <w:uiPriority w:val="99"/>
    <w:rPr>
      <w:rFonts w:ascii="Times New Roman" w:hAnsi="Times New Roman" w:cs="Times New Roman"/>
      <w:color w:val="auto"/>
      <w:u w:val="none"/>
    </w:rPr>
  </w:style>
  <w:style w:type="paragraph" w:customStyle="1" w:styleId="104">
    <w:name w:val="列出段落1"/>
    <w:basedOn w:val="1"/>
    <w:qFormat/>
    <w:uiPriority w:val="99"/>
    <w:pPr>
      <w:ind w:firstLine="420" w:firstLineChars="200"/>
    </w:pPr>
  </w:style>
  <w:style w:type="paragraph" w:customStyle="1" w:styleId="10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WPSOffice手动目录 1"/>
    <w:qFormat/>
    <w:uiPriority w:val="0"/>
    <w:rPr>
      <w:rFonts w:ascii="Calibri" w:hAnsi="Calibri" w:eastAsia="宋体" w:cs="Times New Roman"/>
      <w:lang w:val="en-US" w:eastAsia="zh-CN" w:bidi="ar-SA"/>
    </w:rPr>
  </w:style>
  <w:style w:type="paragraph" w:customStyle="1" w:styleId="107">
    <w:name w:val="WPSOffice手动目录 2"/>
    <w:qFormat/>
    <w:uiPriority w:val="0"/>
    <w:pPr>
      <w:ind w:left="200" w:leftChars="200"/>
    </w:pPr>
    <w:rPr>
      <w:rFonts w:ascii="Calibri" w:hAnsi="Calibri" w:eastAsia="宋体" w:cs="Times New Roman"/>
      <w:lang w:val="en-US" w:eastAsia="zh-CN" w:bidi="ar-SA"/>
    </w:rPr>
  </w:style>
  <w:style w:type="paragraph" w:customStyle="1" w:styleId="108">
    <w:name w:val="WPSOffice手动目录 3"/>
    <w:qFormat/>
    <w:uiPriority w:val="0"/>
    <w:pPr>
      <w:ind w:left="400" w:leftChars="400"/>
    </w:pPr>
    <w:rPr>
      <w:rFonts w:ascii="Calibri" w:hAnsi="Calibri" w:eastAsia="宋体" w:cs="Times New Roman"/>
      <w:lang w:val="en-US" w:eastAsia="zh-CN" w:bidi="ar-SA"/>
    </w:rPr>
  </w:style>
  <w:style w:type="paragraph" w:customStyle="1" w:styleId="10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3078</Words>
  <Characters>17550</Characters>
  <Lines>146</Lines>
  <Paragraphs>41</Paragraphs>
  <TotalTime>4</TotalTime>
  <ScaleCrop>false</ScaleCrop>
  <LinksUpToDate>false</LinksUpToDate>
  <CharactersWithSpaces>20587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招标代理机构</cp:lastModifiedBy>
  <cp:lastPrinted>2019-06-10T04:13:00Z</cp:lastPrinted>
  <dcterms:modified xsi:type="dcterms:W3CDTF">2023-10-02T08:03:16Z</dcterms:modified>
  <dc:title>SF-2019-0207</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F885B05EA35B4773844FEC186D72B80E_13</vt:lpwstr>
  </property>
</Properties>
</file>