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57049E">
      <w:pPr>
        <w:pStyle w:val="3"/>
        <w:spacing w:line="360" w:lineRule="auto"/>
        <w:jc w:val="center"/>
        <w:rPr>
          <w:rFonts w:ascii="宋体" w:hAnsi="宋体"/>
          <w:color w:val="auto"/>
          <w:sz w:val="28"/>
          <w:szCs w:val="28"/>
          <w:highlight w:val="none"/>
        </w:rPr>
      </w:pPr>
      <w:r>
        <w:rPr>
          <w:rFonts w:hint="eastAsia" w:ascii="宋体" w:hAnsi="宋体"/>
          <w:color w:val="auto"/>
          <w:sz w:val="28"/>
          <w:szCs w:val="28"/>
          <w:highlight w:val="none"/>
          <w:lang w:val="en-US" w:eastAsia="zh-CN"/>
        </w:rPr>
        <w:t>用户需求书</w:t>
      </w:r>
      <w:bookmarkStart w:id="0" w:name="_Toc30476634"/>
      <w:bookmarkStart w:id="1" w:name="_Toc27840477"/>
    </w:p>
    <w:bookmarkEnd w:id="0"/>
    <w:bookmarkEnd w:id="1"/>
    <w:p w14:paraId="0892BB93">
      <w:pPr>
        <w:numPr>
          <w:ilvl w:val="0"/>
          <w:numId w:val="0"/>
        </w:numPr>
        <w:spacing w:line="360" w:lineRule="auto"/>
        <w:rPr>
          <w:rFonts w:ascii="宋体" w:hAnsi="宋体" w:cs="宋体"/>
          <w:b/>
          <w:bCs/>
          <w:color w:val="auto"/>
          <w:sz w:val="21"/>
          <w:szCs w:val="21"/>
          <w:highlight w:val="none"/>
        </w:rPr>
      </w:pPr>
      <w:bookmarkStart w:id="2" w:name="_Toc185747588"/>
      <w:bookmarkStart w:id="3" w:name="_Toc130697192"/>
      <w:bookmarkStart w:id="4" w:name="_Toc130695600"/>
      <w:bookmarkStart w:id="5" w:name="_Toc153615297"/>
      <w:r>
        <w:rPr>
          <w:rFonts w:hint="eastAsia" w:ascii="宋体" w:hAnsi="宋体" w:eastAsia="宋体" w:cs="宋体"/>
          <w:b/>
          <w:bCs/>
          <w:color w:val="auto"/>
          <w:kern w:val="2"/>
          <w:sz w:val="21"/>
          <w:szCs w:val="21"/>
          <w:highlight w:val="none"/>
          <w:lang w:val="en-US" w:eastAsia="zh-CN" w:bidi="ar-SA"/>
        </w:rPr>
        <w:t>一、</w:t>
      </w:r>
      <w:r>
        <w:rPr>
          <w:rFonts w:hint="eastAsia" w:ascii="宋体" w:hAnsi="宋体" w:cs="宋体"/>
          <w:b/>
          <w:bCs/>
          <w:color w:val="auto"/>
          <w:sz w:val="21"/>
          <w:szCs w:val="21"/>
          <w:highlight w:val="none"/>
        </w:rPr>
        <w:t>项目概况：</w:t>
      </w:r>
    </w:p>
    <w:p w14:paraId="6BA464D2">
      <w:pPr>
        <w:numPr>
          <w:ilvl w:val="0"/>
          <w:numId w:val="0"/>
        </w:numPr>
        <w:spacing w:line="360" w:lineRule="auto"/>
        <w:ind w:left="425" w:leftChars="0" w:firstLine="0" w:firstLineChars="0"/>
        <w:rPr>
          <w:rFonts w:ascii="宋体" w:hAnsi="宋体" w:cs="宋体"/>
          <w:color w:val="auto"/>
          <w:sz w:val="21"/>
          <w:szCs w:val="21"/>
          <w:highlight w:val="none"/>
        </w:rPr>
      </w:pPr>
      <w:r>
        <w:rPr>
          <w:rFonts w:hint="eastAsia" w:ascii="宋体" w:hAnsi="宋体" w:cs="宋体"/>
          <w:color w:val="auto"/>
          <w:kern w:val="2"/>
          <w:sz w:val="21"/>
          <w:szCs w:val="21"/>
          <w:highlight w:val="none"/>
          <w:lang w:val="en-US" w:eastAsia="zh-CN" w:bidi="ar-SA"/>
        </w:rPr>
        <w:t>1、</w:t>
      </w:r>
      <w:r>
        <w:rPr>
          <w:rFonts w:hint="eastAsia" w:ascii="宋体" w:hAnsi="宋体" w:cs="宋体"/>
          <w:color w:val="auto"/>
          <w:sz w:val="21"/>
          <w:szCs w:val="21"/>
          <w:highlight w:val="none"/>
          <w:lang w:val="en-US" w:eastAsia="zh-CN"/>
        </w:rPr>
        <w:t>本项目按领丰砂砂厂标准产能为每月生产建筑用砂60000吨/月（标准产能），暂定本合同产量为</w:t>
      </w:r>
      <w:r>
        <w:rPr>
          <w:rFonts w:hint="eastAsia" w:ascii="宋体" w:hAnsi="宋体" w:cs="宋体"/>
          <w:color w:val="auto"/>
          <w:szCs w:val="21"/>
          <w:highlight w:val="none"/>
          <w:lang w:val="en-US" w:eastAsia="zh-CN"/>
        </w:rPr>
        <w:t>720000</w:t>
      </w:r>
      <w:r>
        <w:rPr>
          <w:rFonts w:hint="eastAsia" w:ascii="宋体" w:hAnsi="宋体" w:cs="宋体"/>
          <w:color w:val="auto"/>
          <w:sz w:val="21"/>
          <w:szCs w:val="21"/>
          <w:highlight w:val="none"/>
          <w:lang w:val="en-US" w:eastAsia="zh-CN"/>
        </w:rPr>
        <w:t>吨/年（按12个月标准产能计算）。</w:t>
      </w:r>
    </w:p>
    <w:p w14:paraId="1786BB92">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w:t>
      </w:r>
      <w:bookmarkStart w:id="6" w:name="_GoBack"/>
      <w:r>
        <w:rPr>
          <w:rFonts w:hint="eastAsia" w:ascii="宋体" w:hAnsi="宋体" w:cs="宋体"/>
          <w:color w:val="auto"/>
          <w:kern w:val="2"/>
          <w:sz w:val="21"/>
          <w:szCs w:val="21"/>
          <w:highlight w:val="none"/>
          <w:lang w:val="en-US" w:eastAsia="zh-CN" w:bidi="ar-SA"/>
        </w:rPr>
        <w:t>以上计量单位吨是指本项目生产出合格成品砂的数量单位。</w:t>
      </w:r>
      <w:bookmarkEnd w:id="6"/>
    </w:p>
    <w:p w14:paraId="259042AF">
      <w:pPr>
        <w:numPr>
          <w:ilvl w:val="0"/>
          <w:numId w:val="0"/>
        </w:numPr>
        <w:spacing w:line="360" w:lineRule="auto"/>
        <w:ind w:left="425" w:leftChars="0" w:firstLine="0" w:firstLineChars="0"/>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3、代理服务费=生产出合格成品砂数量*代理服务含税综合单价。</w:t>
      </w:r>
    </w:p>
    <w:p w14:paraId="4E04A721">
      <w:pPr>
        <w:numPr>
          <w:ilvl w:val="0"/>
          <w:numId w:val="0"/>
        </w:numPr>
        <w:spacing w:line="360" w:lineRule="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二、</w:t>
      </w:r>
      <w:r>
        <w:rPr>
          <w:rFonts w:hint="eastAsia" w:ascii="宋体" w:hAnsi="宋体" w:cs="宋体"/>
          <w:b/>
          <w:bCs/>
          <w:color w:val="auto"/>
          <w:kern w:val="2"/>
          <w:sz w:val="21"/>
          <w:szCs w:val="21"/>
          <w:highlight w:val="none"/>
          <w:lang w:val="en-US" w:eastAsia="zh-CN" w:bidi="ar-SA"/>
        </w:rPr>
        <w:t>项目</w:t>
      </w:r>
      <w:r>
        <w:rPr>
          <w:rFonts w:hint="eastAsia" w:ascii="宋体" w:hAnsi="宋体" w:cs="宋体"/>
          <w:b/>
          <w:bCs/>
          <w:color w:val="auto"/>
          <w:sz w:val="21"/>
          <w:szCs w:val="21"/>
          <w:highlight w:val="none"/>
          <w:lang w:val="en-US" w:eastAsia="zh-CN"/>
        </w:rPr>
        <w:t>内容及服务要求：</w:t>
      </w:r>
    </w:p>
    <w:p w14:paraId="3B5E32E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1、</w:t>
      </w:r>
      <w:r>
        <w:rPr>
          <w:rFonts w:hint="eastAsia" w:ascii="宋体" w:hAnsi="宋体" w:cs="宋体"/>
          <w:color w:val="auto"/>
          <w:sz w:val="21"/>
          <w:szCs w:val="21"/>
          <w:highlight w:val="none"/>
        </w:rPr>
        <w:t>服务地点:</w:t>
      </w:r>
      <w:r>
        <w:rPr>
          <w:rFonts w:hint="eastAsia" w:ascii="宋体" w:hAnsi="宋体" w:cs="宋体"/>
          <w:color w:val="000000" w:themeColor="text1"/>
          <w:sz w:val="21"/>
          <w:szCs w:val="21"/>
          <w:lang w:eastAsia="zh-CN"/>
          <w14:textFill>
            <w14:solidFill>
              <w14:schemeClr w14:val="tx1"/>
            </w14:solidFill>
          </w14:textFill>
        </w:rPr>
        <w:t>广州市花都区新雅街清布村团结路2-1(空港花都)</w:t>
      </w:r>
      <w:r>
        <w:rPr>
          <w:rFonts w:hint="eastAsia" w:ascii="宋体" w:hAnsi="宋体" w:cs="宋体"/>
          <w:color w:val="auto"/>
          <w:sz w:val="21"/>
          <w:szCs w:val="21"/>
          <w:highlight w:val="none"/>
          <w:lang w:eastAsia="zh-CN"/>
        </w:rPr>
        <w:t>；</w:t>
      </w:r>
    </w:p>
    <w:p w14:paraId="017E9A0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2、服务范围:代理服务；</w:t>
      </w:r>
    </w:p>
    <w:p w14:paraId="12849F4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3、服务内容:</w:t>
      </w:r>
    </w:p>
    <w:p w14:paraId="42879F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cs="宋体"/>
          <w:color w:val="auto"/>
          <w:kern w:val="2"/>
          <w:sz w:val="21"/>
          <w:szCs w:val="21"/>
          <w:highlight w:val="none"/>
          <w:lang w:val="en-US" w:eastAsia="zh-CN" w:bidi="ar-SA"/>
        </w:rPr>
        <w:t>代理服务：是指成交人在采购人可以购置的物料（包括但不限于建筑弃土或洗砂原料等）范围内收集具有一定含砂率的适合用于生产的洗砂原材料卸货到厂的代理服务，以及为完成前述代理服务所需要的其他相关配套服务(包括且不限于市场调查、依法合规组织及过程中的沟通协调、原材料品质控制、数据处理服务物料调配服务、为提高效率配置合适的临时堆放场地、进行合理妥善堆放管理，以及根据原材料的进料计划及库存数量、成品砂的库存数量和销售计划，向采购人提供合理的排产计划建议)。</w:t>
      </w:r>
    </w:p>
    <w:p w14:paraId="1228A568">
      <w:pPr>
        <w:pStyle w:val="2"/>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宋体" w:hAnsi="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w:t>
      </w:r>
      <w:r>
        <w:rPr>
          <w:rFonts w:hint="eastAsia" w:ascii="宋体" w:hAnsi="宋体" w:cs="宋体"/>
          <w:color w:val="auto"/>
          <w:kern w:val="2"/>
          <w:sz w:val="21"/>
          <w:szCs w:val="21"/>
          <w:highlight w:val="none"/>
          <w:lang w:val="en-US" w:eastAsia="zh-CN" w:bidi="ar-SA"/>
        </w:rPr>
        <w:t>原材料进场管理及质量检测验收</w:t>
      </w:r>
    </w:p>
    <w:p w14:paraId="5A2B957C">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default" w:ascii="宋体" w:hAnsi="宋体" w:eastAsia="宋体" w:cs="宋体"/>
          <w:color w:val="auto"/>
          <w:kern w:val="2"/>
          <w:sz w:val="21"/>
          <w:szCs w:val="21"/>
          <w:highlight w:val="none"/>
          <w:lang w:val="en-US" w:eastAsia="zh-CN" w:bidi="ar-SA"/>
        </w:rPr>
        <w:t>成交人服务须合法合规合格并及时有效、符合采购人要求，且采购人有权对成交人服务内容</w:t>
      </w:r>
      <w:r>
        <w:rPr>
          <w:rFonts w:hint="eastAsia" w:ascii="宋体" w:hAnsi="宋体" w:eastAsia="宋体" w:cs="宋体"/>
          <w:color w:val="auto"/>
          <w:kern w:val="2"/>
          <w:sz w:val="21"/>
          <w:szCs w:val="21"/>
          <w:highlight w:val="none"/>
          <w:lang w:val="en-US" w:eastAsia="zh-CN" w:bidi="ar-SA"/>
        </w:rPr>
        <w:t>进行检查</w:t>
      </w:r>
      <w:r>
        <w:rPr>
          <w:rFonts w:hint="default" w:ascii="宋体" w:hAnsi="宋体" w:eastAsia="宋体" w:cs="宋体"/>
          <w:color w:val="auto"/>
          <w:kern w:val="2"/>
          <w:sz w:val="21"/>
          <w:szCs w:val="21"/>
          <w:highlight w:val="none"/>
          <w:lang w:val="en-US" w:eastAsia="zh-CN" w:bidi="ar-SA"/>
        </w:rPr>
        <w:t>和考核。</w:t>
      </w:r>
    </w:p>
    <w:p w14:paraId="1069A63E">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成交人应对采购人委托其代理收运的原材料含砂率负责，含砂率值不得低于双方约定含砂率值的-10%；进场时由采购人进行现场检测，含砂率低于要求含砂率值时，采购人有权拒绝接收；如成交人已经卸货，采购人有权要求成交人将已经运输至场内的原材料清运出场，并将场地清扫干净。采购人进行的进场检测验收并不能免除成交人含砂率质量责任。</w:t>
      </w:r>
    </w:p>
    <w:p w14:paraId="708945E2">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（3）成交人原料进场需提前报备采购人，报备内容包括但不限于:建设项目名称、施工总包名称、运输公司名称及运输车牌。</w:t>
      </w:r>
    </w:p>
    <w:p w14:paraId="3D8CD0B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0" w:firstLineChars="200"/>
        <w:jc w:val="both"/>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（4）原材料进场须经采购人指定人员核定数量，双方签证确认。</w:t>
      </w:r>
    </w:p>
    <w:p w14:paraId="38F30236">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firstLine="422" w:firstLineChars="200"/>
        <w:jc w:val="both"/>
        <w:textAlignment w:val="auto"/>
        <w:rPr>
          <w:rFonts w:hint="default" w:ascii="宋体" w:hAnsi="宋体" w:eastAsia="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三、报价形式</w:t>
      </w:r>
    </w:p>
    <w:p w14:paraId="6B440B09">
      <w:pPr>
        <w:pStyle w:val="4"/>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本项目根据</w:t>
      </w:r>
      <w:r>
        <w:rPr>
          <w:rFonts w:hint="eastAsia" w:ascii="宋体" w:hAnsi="宋体" w:cs="宋体"/>
          <w:color w:val="auto"/>
          <w:sz w:val="21"/>
          <w:szCs w:val="21"/>
          <w:highlight w:val="none"/>
          <w:lang w:val="en-US" w:eastAsia="zh-CN"/>
        </w:rPr>
        <w:t>本次项目的</w:t>
      </w:r>
      <w:r>
        <w:rPr>
          <w:rFonts w:hint="eastAsia" w:ascii="宋体" w:hAnsi="宋体" w:eastAsia="宋体" w:cs="宋体"/>
          <w:color w:val="auto"/>
          <w:sz w:val="21"/>
          <w:szCs w:val="21"/>
          <w:highlight w:val="none"/>
          <w:lang w:val="en-US" w:eastAsia="zh-CN"/>
        </w:rPr>
        <w:t>清单内容为基准报</w:t>
      </w:r>
      <w:r>
        <w:rPr>
          <w:rFonts w:hint="eastAsia" w:ascii="宋体" w:hAnsi="宋体" w:cs="宋体"/>
          <w:color w:val="auto"/>
          <w:kern w:val="2"/>
          <w:sz w:val="21"/>
          <w:szCs w:val="21"/>
          <w:highlight w:val="none"/>
          <w:lang w:val="en-US" w:eastAsia="zh-CN" w:bidi="ar-SA"/>
        </w:rPr>
        <w:t>服务含税综合单价</w:t>
      </w:r>
      <w:r>
        <w:rPr>
          <w:rFonts w:hint="eastAsia" w:ascii="宋体" w:hAnsi="宋体" w:eastAsia="宋体" w:cs="宋体"/>
          <w:color w:val="auto"/>
          <w:sz w:val="21"/>
          <w:szCs w:val="21"/>
          <w:highlight w:val="none"/>
          <w:lang w:val="en-US" w:eastAsia="zh-CN"/>
        </w:rPr>
        <w:t>的形式进行报价</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报价只允许有一个报价，不接受有任何选择的报价，否则按无效报价处理。</w:t>
      </w:r>
    </w:p>
    <w:bookmarkEnd w:id="2"/>
    <w:bookmarkEnd w:id="3"/>
    <w:bookmarkEnd w:id="4"/>
    <w:bookmarkEnd w:id="5"/>
    <w:p w14:paraId="1FFC6212">
      <w:pPr>
        <w:pStyle w:val="2"/>
        <w:widowControl w:val="0"/>
        <w:numPr>
          <w:ilvl w:val="0"/>
          <w:numId w:val="0"/>
        </w:numPr>
        <w:jc w:val="both"/>
        <w:rPr>
          <w:rFonts w:hint="default" w:ascii="宋体" w:hAnsi="宋体" w:cs="宋体"/>
          <w:color w:val="auto"/>
          <w:kern w:val="2"/>
          <w:sz w:val="21"/>
          <w:szCs w:val="21"/>
          <w:highlight w:val="none"/>
          <w:lang w:val="en-US" w:eastAsia="zh-CN" w:bidi="ar-S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RiMzNkYTkzMDE2N2RlMWU1MDI4YWU4ZGY0NDNmNzQifQ=="/>
  </w:docVars>
  <w:rsids>
    <w:rsidRoot w:val="00000000"/>
    <w:rsid w:val="14114416"/>
    <w:rsid w:val="1B3623DF"/>
    <w:rsid w:val="449463AB"/>
    <w:rsid w:val="4DF15052"/>
    <w:rsid w:val="5A410342"/>
    <w:rsid w:val="74A41A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8" w:lineRule="auto"/>
      <w:outlineLvl w:val="0"/>
    </w:pPr>
    <w:rPr>
      <w:b/>
      <w:kern w:val="44"/>
      <w:sz w:val="44"/>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_Style 3"/>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Normal Indent"/>
    <w:basedOn w:val="1"/>
    <w:next w:val="1"/>
    <w:qFormat/>
    <w:uiPriority w:val="0"/>
    <w:pPr>
      <w:spacing w:line="360" w:lineRule="auto"/>
      <w:ind w:firstLine="420"/>
    </w:pPr>
    <w:rPr>
      <w:rFonts w:asciiTheme="minorHAnsi" w:hAnsiTheme="minorHAnsi" w:cstheme="minorBidi"/>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794</Words>
  <Characters>808</Characters>
  <Lines>0</Lines>
  <Paragraphs>0</Paragraphs>
  <TotalTime>0</TotalTime>
  <ScaleCrop>false</ScaleCrop>
  <LinksUpToDate>false</LinksUpToDate>
  <CharactersWithSpaces>810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2024-10-29T08:02:00Z</dcterms:created>
  <dc:creator>86138</dc:creator>
  <cp:lastModifiedBy>欧舒瑶</cp:lastModifiedBy>
  <dcterms:modified xsi:type="dcterms:W3CDTF">2025-01-09T03:34:10Z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77AD822EFDD647459008B81E8DF690B9_12</vt:lpwstr>
  </property>
  <property fmtid="{D5CDD505-2E9C-101B-9397-08002B2CF9AE}" pid="4" name="KSOTemplateDocerSaveRecord">
    <vt:lpwstr>eyJoZGlkIjoiYjY0YmY1YjZkYjBjOThhM2VjYmVhOTIwNDA4YTViYWYiLCJ1c2VySWQiOiIxNjY3NDY0MDk0In0=</vt:lpwstr>
  </property>
</Properties>
</file>