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407B3">
      <w:pPr>
        <w:jc w:val="center"/>
        <w:outlineLvl w:val="0"/>
        <w:rPr>
          <w:highlight w:val="none"/>
        </w:rPr>
      </w:pPr>
      <w:r>
        <w:rPr>
          <w:b/>
          <w:sz w:val="36"/>
          <w:highlight w:val="none"/>
        </w:rPr>
        <w:t>第二章 采购需求</w:t>
      </w:r>
    </w:p>
    <w:p w14:paraId="23CA9E98">
      <w:pPr>
        <w:spacing w:line="360" w:lineRule="auto"/>
        <w:rPr>
          <w:rFonts w:hint="eastAsia" w:ascii="宋体" w:hAnsi="宋体" w:cs="宋体"/>
          <w:b/>
          <w:bCs/>
          <w:color w:val="000000"/>
          <w:szCs w:val="21"/>
        </w:rPr>
      </w:pPr>
      <w:r>
        <w:rPr>
          <w:rFonts w:hint="eastAsia" w:ascii="宋体" w:hAnsi="宋体" w:cs="宋体"/>
          <w:b/>
          <w:bCs/>
          <w:color w:val="000000"/>
          <w:szCs w:val="21"/>
        </w:rPr>
        <w:t>一、项目概况</w:t>
      </w:r>
    </w:p>
    <w:p w14:paraId="094A943C">
      <w:pPr>
        <w:tabs>
          <w:tab w:val="left" w:pos="510"/>
          <w:tab w:val="left" w:pos="540"/>
        </w:tabs>
        <w:adjustRightInd w:val="0"/>
        <w:spacing w:line="360" w:lineRule="auto"/>
        <w:ind w:firstLine="630" w:firstLineChars="300"/>
        <w:rPr>
          <w:rFonts w:hint="eastAsia"/>
        </w:rPr>
      </w:pPr>
      <w:r>
        <w:rPr>
          <w:rFonts w:hint="eastAsia"/>
        </w:rPr>
        <w:t>参照《国家网络安全法》、《等级保护2.0标准》、《国家网络安全应急预案》，配套建立常态化、长效化的新型安全运营指挥技术和管理体系；通过自动化的手段</w:t>
      </w:r>
      <w:bookmarkStart w:id="138" w:name="_GoBack"/>
      <w:bookmarkEnd w:id="138"/>
      <w:r>
        <w:rPr>
          <w:rFonts w:hint="eastAsia"/>
        </w:rPr>
        <w:t>，以科学合理的方法实现最短时间内协调设备资源、人力资源、管理资源，对安全事件进行有效处置，并实现统一的网络安全协同运营，保障佛山大学网络空间安全、稳定，相关系统持续、有序、安全运转。采购人拟通过服务外包的方式，进一步夯实网络安全能力，借助专业安全公司的安全设备、安全人员能力等方式提升整体网络安全运营。</w:t>
      </w:r>
    </w:p>
    <w:p w14:paraId="7B228A47">
      <w:pPr>
        <w:spacing w:line="360" w:lineRule="auto"/>
        <w:ind w:firstLine="630" w:firstLineChars="300"/>
        <w:rPr>
          <w:rFonts w:hint="eastAsia" w:ascii="宋体" w:hAnsi="宋体" w:cs="宋体"/>
          <w:color w:val="000000"/>
          <w:szCs w:val="21"/>
        </w:rPr>
      </w:pPr>
      <w:r>
        <w:rPr>
          <w:rFonts w:hint="eastAsia" w:ascii="宋体" w:hAnsi="宋体" w:cs="宋体"/>
          <w:color w:val="000000"/>
          <w:szCs w:val="21"/>
        </w:rPr>
        <w:t>1、项目名称：佛山大学网络安全运维（2025-2026）年项目</w:t>
      </w:r>
    </w:p>
    <w:p w14:paraId="1304E6C5">
      <w:pPr>
        <w:pStyle w:val="2"/>
        <w:spacing w:line="360" w:lineRule="auto"/>
        <w:ind w:firstLine="630" w:firstLineChars="300"/>
        <w:rPr>
          <w:rFonts w:hint="eastAsia" w:ascii="宋体" w:hAnsi="宋体" w:cs="宋体"/>
          <w:color w:val="000000"/>
          <w:szCs w:val="21"/>
        </w:rPr>
      </w:pPr>
      <w:r>
        <w:rPr>
          <w:rFonts w:hint="eastAsia" w:ascii="宋体" w:hAnsi="宋体" w:cs="宋体"/>
          <w:color w:val="000000"/>
          <w:szCs w:val="21"/>
        </w:rPr>
        <w:t>2、采购预算/最高限价：人民币86.23万元</w:t>
      </w:r>
    </w:p>
    <w:p w14:paraId="6B6A2AAD">
      <w:pPr>
        <w:spacing w:line="360" w:lineRule="auto"/>
        <w:rPr>
          <w:rFonts w:hint="eastAsia" w:ascii="宋体" w:hAnsi="宋体" w:cs="宋体"/>
          <w:color w:val="000000"/>
          <w:szCs w:val="21"/>
        </w:rPr>
      </w:pPr>
      <w:r>
        <w:rPr>
          <w:rFonts w:hint="eastAsia" w:ascii="宋体" w:hAnsi="宋体" w:cs="宋体"/>
          <w:color w:val="000000"/>
          <w:szCs w:val="21"/>
        </w:rPr>
        <w:t xml:space="preserve">      3、</w:t>
      </w:r>
      <w:r>
        <w:t>★</w:t>
      </w:r>
      <w:r>
        <w:rPr>
          <w:rFonts w:hint="eastAsia" w:ascii="宋体" w:hAnsi="宋体" w:cs="宋体"/>
          <w:color w:val="000000"/>
          <w:szCs w:val="21"/>
        </w:rPr>
        <w:t>合同履行期限：2025年7月26日到2026年7月25日</w:t>
      </w:r>
    </w:p>
    <w:p w14:paraId="2B7C5CA7">
      <w:pPr>
        <w:pStyle w:val="2"/>
        <w:spacing w:line="360" w:lineRule="auto"/>
        <w:rPr>
          <w:rFonts w:hint="eastAsia" w:ascii="宋体" w:hAnsi="宋体"/>
          <w:szCs w:val="21"/>
        </w:rPr>
      </w:pPr>
      <w:r>
        <w:rPr>
          <w:rFonts w:hint="eastAsia" w:ascii="宋体" w:hAnsi="宋体" w:cs="宋体"/>
          <w:color w:val="000000"/>
          <w:szCs w:val="21"/>
        </w:rPr>
        <w:t xml:space="preserve">  4、</w:t>
      </w:r>
      <w:r>
        <w:t>★</w:t>
      </w:r>
      <w:r>
        <w:rPr>
          <w:rFonts w:hint="eastAsia" w:ascii="宋体" w:hAnsi="宋体"/>
          <w:szCs w:val="21"/>
        </w:rPr>
        <w:t>服务地点：采购人指定地点</w:t>
      </w:r>
    </w:p>
    <w:p w14:paraId="49CAD238">
      <w:pPr>
        <w:rPr>
          <w:rFonts w:hint="eastAsia" w:ascii="宋体" w:hAnsi="宋体"/>
          <w:szCs w:val="21"/>
        </w:rPr>
      </w:pPr>
      <w:r>
        <w:rPr>
          <w:rFonts w:hint="eastAsia" w:ascii="宋体" w:hAnsi="宋体"/>
          <w:szCs w:val="21"/>
        </w:rPr>
        <w:t xml:space="preserve">      5、采购清单：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5203"/>
        <w:gridCol w:w="1338"/>
        <w:gridCol w:w="1243"/>
      </w:tblGrid>
      <w:tr w14:paraId="0F68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0AF3DA66">
            <w:pPr>
              <w:pStyle w:val="2"/>
              <w:spacing w:line="360" w:lineRule="auto"/>
              <w:ind w:firstLine="0"/>
              <w:jc w:val="center"/>
              <w:rPr>
                <w:rFonts w:hint="eastAsia" w:ascii="宋体" w:hAnsi="宋体" w:cs="宋体"/>
                <w:b/>
                <w:bCs/>
                <w:szCs w:val="21"/>
              </w:rPr>
            </w:pPr>
            <w:r>
              <w:rPr>
                <w:rFonts w:hint="eastAsia" w:ascii="宋体" w:hAnsi="宋体" w:cs="宋体"/>
                <w:b/>
                <w:bCs/>
                <w:szCs w:val="21"/>
              </w:rPr>
              <w:t>序号</w:t>
            </w:r>
          </w:p>
        </w:tc>
        <w:tc>
          <w:tcPr>
            <w:tcW w:w="5846" w:type="dxa"/>
            <w:noWrap w:val="0"/>
            <w:vAlign w:val="top"/>
          </w:tcPr>
          <w:p w14:paraId="51DA5EB0">
            <w:pPr>
              <w:pStyle w:val="2"/>
              <w:spacing w:line="360" w:lineRule="auto"/>
              <w:jc w:val="center"/>
              <w:rPr>
                <w:rFonts w:hint="eastAsia" w:ascii="宋体" w:hAnsi="宋体" w:cs="宋体"/>
                <w:b/>
                <w:bCs/>
                <w:szCs w:val="21"/>
              </w:rPr>
            </w:pPr>
            <w:r>
              <w:rPr>
                <w:rFonts w:hint="eastAsia" w:ascii="宋体" w:hAnsi="宋体" w:cs="宋体"/>
                <w:b/>
                <w:bCs/>
                <w:szCs w:val="21"/>
              </w:rPr>
              <w:t>服务内容</w:t>
            </w:r>
          </w:p>
        </w:tc>
        <w:tc>
          <w:tcPr>
            <w:tcW w:w="1473" w:type="dxa"/>
            <w:noWrap w:val="0"/>
            <w:vAlign w:val="top"/>
          </w:tcPr>
          <w:p w14:paraId="14F576F8">
            <w:pPr>
              <w:pStyle w:val="2"/>
              <w:spacing w:line="360" w:lineRule="auto"/>
              <w:ind w:firstLine="0"/>
              <w:jc w:val="center"/>
              <w:rPr>
                <w:rFonts w:hint="eastAsia" w:ascii="宋体" w:hAnsi="宋体" w:cs="宋体"/>
                <w:b/>
                <w:bCs/>
                <w:szCs w:val="21"/>
              </w:rPr>
            </w:pPr>
            <w:r>
              <w:rPr>
                <w:rFonts w:hint="eastAsia" w:ascii="宋体" w:hAnsi="宋体" w:cs="宋体"/>
                <w:b/>
                <w:bCs/>
                <w:szCs w:val="21"/>
              </w:rPr>
              <w:t>数量</w:t>
            </w:r>
          </w:p>
        </w:tc>
        <w:tc>
          <w:tcPr>
            <w:tcW w:w="1363" w:type="dxa"/>
            <w:noWrap w:val="0"/>
            <w:vAlign w:val="top"/>
          </w:tcPr>
          <w:p w14:paraId="56BA40DB">
            <w:pPr>
              <w:pStyle w:val="2"/>
              <w:spacing w:line="360" w:lineRule="auto"/>
              <w:ind w:firstLine="0"/>
              <w:jc w:val="center"/>
              <w:rPr>
                <w:rFonts w:hint="eastAsia" w:ascii="宋体" w:hAnsi="宋体" w:cs="宋体"/>
                <w:b/>
                <w:bCs/>
                <w:szCs w:val="21"/>
              </w:rPr>
            </w:pPr>
            <w:r>
              <w:rPr>
                <w:rFonts w:hint="eastAsia" w:ascii="宋体" w:hAnsi="宋体" w:cs="宋体"/>
                <w:b/>
                <w:bCs/>
                <w:szCs w:val="21"/>
              </w:rPr>
              <w:t>单位</w:t>
            </w:r>
          </w:p>
        </w:tc>
      </w:tr>
      <w:tr w14:paraId="31E5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4071406E">
            <w:pPr>
              <w:pStyle w:val="2"/>
              <w:numPr>
                <w:ilvl w:val="0"/>
                <w:numId w:val="1"/>
              </w:numPr>
              <w:spacing w:line="360" w:lineRule="auto"/>
              <w:jc w:val="center"/>
              <w:rPr>
                <w:rFonts w:hint="eastAsia" w:ascii="宋体" w:hAnsi="宋体" w:cs="宋体"/>
                <w:szCs w:val="21"/>
              </w:rPr>
            </w:pPr>
          </w:p>
        </w:tc>
        <w:tc>
          <w:tcPr>
            <w:tcW w:w="5846" w:type="dxa"/>
            <w:noWrap w:val="0"/>
            <w:vAlign w:val="top"/>
          </w:tcPr>
          <w:p w14:paraId="075E7779">
            <w:pPr>
              <w:pStyle w:val="2"/>
              <w:spacing w:line="360" w:lineRule="auto"/>
              <w:ind w:firstLine="0"/>
              <w:jc w:val="center"/>
              <w:rPr>
                <w:rFonts w:hint="eastAsia" w:ascii="宋体" w:hAnsi="宋体" w:cs="宋体"/>
                <w:szCs w:val="21"/>
              </w:rPr>
            </w:pPr>
            <w:r>
              <w:rPr>
                <w:rFonts w:hint="eastAsia" w:ascii="宋体" w:hAnsi="宋体" w:cs="宋体"/>
                <w:szCs w:val="21"/>
              </w:rPr>
              <w:t>安全驻场服务</w:t>
            </w:r>
          </w:p>
        </w:tc>
        <w:tc>
          <w:tcPr>
            <w:tcW w:w="1473" w:type="dxa"/>
            <w:noWrap w:val="0"/>
            <w:vAlign w:val="center"/>
          </w:tcPr>
          <w:p w14:paraId="0ABEDD17">
            <w:pPr>
              <w:spacing w:line="360" w:lineRule="auto"/>
              <w:jc w:val="center"/>
              <w:rPr>
                <w:rFonts w:hint="eastAsia" w:ascii="宋体" w:hAnsi="宋体" w:cs="宋体"/>
                <w:szCs w:val="21"/>
              </w:rPr>
            </w:pPr>
            <w:r>
              <w:rPr>
                <w:rFonts w:hint="eastAsia" w:ascii="宋体" w:hAnsi="宋体" w:cs="宋体"/>
                <w:szCs w:val="21"/>
              </w:rPr>
              <w:t>1</w:t>
            </w:r>
          </w:p>
        </w:tc>
        <w:tc>
          <w:tcPr>
            <w:tcW w:w="1363" w:type="dxa"/>
            <w:noWrap w:val="0"/>
            <w:vAlign w:val="center"/>
          </w:tcPr>
          <w:p w14:paraId="7FE99F8C">
            <w:pPr>
              <w:spacing w:line="360" w:lineRule="auto"/>
              <w:jc w:val="center"/>
              <w:rPr>
                <w:rFonts w:hint="eastAsia" w:ascii="宋体" w:hAnsi="宋体" w:cs="宋体"/>
                <w:szCs w:val="21"/>
              </w:rPr>
            </w:pPr>
            <w:r>
              <w:rPr>
                <w:rFonts w:hint="eastAsia" w:ascii="宋体" w:hAnsi="宋体" w:cs="宋体"/>
                <w:szCs w:val="21"/>
              </w:rPr>
              <w:t>项</w:t>
            </w:r>
          </w:p>
        </w:tc>
      </w:tr>
      <w:tr w14:paraId="367F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0AB8C49B">
            <w:pPr>
              <w:pStyle w:val="2"/>
              <w:numPr>
                <w:ilvl w:val="0"/>
                <w:numId w:val="1"/>
              </w:numPr>
              <w:spacing w:line="360" w:lineRule="auto"/>
              <w:jc w:val="center"/>
              <w:rPr>
                <w:rFonts w:hint="eastAsia" w:ascii="宋体" w:hAnsi="宋体" w:cs="宋体"/>
                <w:szCs w:val="21"/>
              </w:rPr>
            </w:pPr>
          </w:p>
        </w:tc>
        <w:tc>
          <w:tcPr>
            <w:tcW w:w="5846" w:type="dxa"/>
            <w:noWrap w:val="0"/>
            <w:vAlign w:val="top"/>
          </w:tcPr>
          <w:p w14:paraId="46E8114E">
            <w:pPr>
              <w:pStyle w:val="2"/>
              <w:spacing w:line="360" w:lineRule="auto"/>
              <w:ind w:firstLine="0"/>
              <w:jc w:val="center"/>
              <w:rPr>
                <w:rFonts w:hint="eastAsia" w:ascii="宋体" w:hAnsi="宋体" w:cs="宋体"/>
                <w:szCs w:val="21"/>
              </w:rPr>
            </w:pPr>
            <w:r>
              <w:rPr>
                <w:rFonts w:hint="eastAsia" w:ascii="宋体" w:hAnsi="宋体" w:cs="宋体"/>
                <w:szCs w:val="21"/>
              </w:rPr>
              <w:t>安全运营服务</w:t>
            </w:r>
          </w:p>
        </w:tc>
        <w:tc>
          <w:tcPr>
            <w:tcW w:w="1473" w:type="dxa"/>
            <w:noWrap w:val="0"/>
            <w:vAlign w:val="center"/>
          </w:tcPr>
          <w:p w14:paraId="13812740">
            <w:pPr>
              <w:spacing w:line="360" w:lineRule="auto"/>
              <w:jc w:val="center"/>
              <w:rPr>
                <w:rFonts w:hint="eastAsia" w:ascii="宋体" w:hAnsi="宋体" w:cs="宋体"/>
                <w:szCs w:val="21"/>
              </w:rPr>
            </w:pPr>
            <w:r>
              <w:rPr>
                <w:rFonts w:hint="eastAsia" w:ascii="宋体" w:hAnsi="宋体" w:cs="宋体"/>
                <w:szCs w:val="21"/>
              </w:rPr>
              <w:t>1</w:t>
            </w:r>
          </w:p>
        </w:tc>
        <w:tc>
          <w:tcPr>
            <w:tcW w:w="1363" w:type="dxa"/>
            <w:noWrap w:val="0"/>
            <w:vAlign w:val="center"/>
          </w:tcPr>
          <w:p w14:paraId="5F93A0D5">
            <w:pPr>
              <w:spacing w:line="360" w:lineRule="auto"/>
              <w:jc w:val="center"/>
              <w:rPr>
                <w:rFonts w:hint="eastAsia" w:ascii="宋体" w:hAnsi="宋体" w:cs="宋体"/>
                <w:szCs w:val="21"/>
              </w:rPr>
            </w:pPr>
            <w:r>
              <w:rPr>
                <w:rFonts w:hint="eastAsia" w:ascii="宋体" w:hAnsi="宋体" w:cs="宋体"/>
                <w:szCs w:val="21"/>
              </w:rPr>
              <w:t>项</w:t>
            </w:r>
          </w:p>
        </w:tc>
      </w:tr>
      <w:tr w14:paraId="461F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7B1EF60E">
            <w:pPr>
              <w:pStyle w:val="2"/>
              <w:numPr>
                <w:ilvl w:val="0"/>
                <w:numId w:val="1"/>
              </w:numPr>
              <w:spacing w:line="360" w:lineRule="auto"/>
              <w:jc w:val="center"/>
              <w:rPr>
                <w:rFonts w:hint="eastAsia" w:ascii="宋体" w:hAnsi="宋体" w:cs="宋体"/>
                <w:szCs w:val="21"/>
              </w:rPr>
            </w:pPr>
          </w:p>
        </w:tc>
        <w:tc>
          <w:tcPr>
            <w:tcW w:w="5846" w:type="dxa"/>
            <w:noWrap w:val="0"/>
            <w:vAlign w:val="center"/>
          </w:tcPr>
          <w:p w14:paraId="607D4977">
            <w:pPr>
              <w:spacing w:line="360" w:lineRule="auto"/>
              <w:jc w:val="center"/>
              <w:rPr>
                <w:rFonts w:hint="eastAsia" w:ascii="宋体" w:hAnsi="宋体" w:cs="宋体"/>
                <w:szCs w:val="21"/>
              </w:rPr>
            </w:pPr>
            <w:r>
              <w:rPr>
                <w:rFonts w:hint="eastAsia" w:ascii="宋体" w:hAnsi="宋体" w:cs="宋体"/>
                <w:szCs w:val="21"/>
              </w:rPr>
              <w:t>重保值守服务</w:t>
            </w:r>
          </w:p>
        </w:tc>
        <w:tc>
          <w:tcPr>
            <w:tcW w:w="1473" w:type="dxa"/>
            <w:noWrap w:val="0"/>
            <w:vAlign w:val="center"/>
          </w:tcPr>
          <w:p w14:paraId="0171839F">
            <w:pPr>
              <w:spacing w:line="360" w:lineRule="auto"/>
              <w:jc w:val="center"/>
              <w:rPr>
                <w:rFonts w:hint="eastAsia" w:ascii="宋体" w:hAnsi="宋体" w:cs="宋体"/>
                <w:szCs w:val="21"/>
              </w:rPr>
            </w:pPr>
            <w:r>
              <w:rPr>
                <w:rFonts w:hint="eastAsia" w:ascii="宋体" w:hAnsi="宋体" w:cs="宋体"/>
                <w:szCs w:val="21"/>
              </w:rPr>
              <w:t>20</w:t>
            </w:r>
          </w:p>
        </w:tc>
        <w:tc>
          <w:tcPr>
            <w:tcW w:w="1363" w:type="dxa"/>
            <w:noWrap w:val="0"/>
            <w:vAlign w:val="center"/>
          </w:tcPr>
          <w:p w14:paraId="57D7346C">
            <w:pPr>
              <w:spacing w:line="360" w:lineRule="auto"/>
              <w:jc w:val="center"/>
              <w:rPr>
                <w:rFonts w:hint="eastAsia" w:ascii="宋体" w:hAnsi="宋体" w:cs="宋体"/>
                <w:szCs w:val="21"/>
              </w:rPr>
            </w:pPr>
            <w:r>
              <w:rPr>
                <w:rFonts w:hint="eastAsia" w:ascii="宋体" w:hAnsi="宋体" w:cs="宋体"/>
                <w:szCs w:val="21"/>
              </w:rPr>
              <w:t>天</w:t>
            </w:r>
          </w:p>
        </w:tc>
      </w:tr>
      <w:tr w14:paraId="540B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7F12C369">
            <w:pPr>
              <w:pStyle w:val="2"/>
              <w:numPr>
                <w:ilvl w:val="0"/>
                <w:numId w:val="1"/>
              </w:numPr>
              <w:spacing w:line="360" w:lineRule="auto"/>
              <w:jc w:val="center"/>
              <w:rPr>
                <w:rFonts w:hint="eastAsia" w:ascii="宋体" w:hAnsi="宋体" w:cs="宋体"/>
                <w:szCs w:val="21"/>
              </w:rPr>
            </w:pPr>
          </w:p>
        </w:tc>
        <w:tc>
          <w:tcPr>
            <w:tcW w:w="5846" w:type="dxa"/>
            <w:noWrap w:val="0"/>
            <w:vAlign w:val="center"/>
          </w:tcPr>
          <w:p w14:paraId="3139F4AA">
            <w:pPr>
              <w:spacing w:line="360" w:lineRule="auto"/>
              <w:jc w:val="center"/>
              <w:rPr>
                <w:rFonts w:hint="eastAsia" w:ascii="宋体" w:hAnsi="宋体" w:cs="宋体"/>
                <w:szCs w:val="21"/>
              </w:rPr>
            </w:pPr>
            <w:r>
              <w:rPr>
                <w:rFonts w:hint="eastAsia" w:ascii="宋体" w:hAnsi="宋体" w:cs="宋体"/>
                <w:szCs w:val="21"/>
              </w:rPr>
              <w:t>网站安全防护服务</w:t>
            </w:r>
          </w:p>
        </w:tc>
        <w:tc>
          <w:tcPr>
            <w:tcW w:w="1473" w:type="dxa"/>
            <w:noWrap w:val="0"/>
            <w:vAlign w:val="center"/>
          </w:tcPr>
          <w:p w14:paraId="68955268">
            <w:pPr>
              <w:spacing w:line="360" w:lineRule="auto"/>
              <w:jc w:val="center"/>
              <w:rPr>
                <w:rFonts w:hint="eastAsia" w:ascii="宋体" w:hAnsi="宋体" w:cs="宋体"/>
                <w:szCs w:val="21"/>
              </w:rPr>
            </w:pPr>
            <w:r>
              <w:rPr>
                <w:rFonts w:hint="eastAsia" w:ascii="宋体" w:hAnsi="宋体" w:cs="宋体"/>
                <w:szCs w:val="21"/>
              </w:rPr>
              <w:t>1</w:t>
            </w:r>
          </w:p>
        </w:tc>
        <w:tc>
          <w:tcPr>
            <w:tcW w:w="1363" w:type="dxa"/>
            <w:noWrap w:val="0"/>
            <w:vAlign w:val="center"/>
          </w:tcPr>
          <w:p w14:paraId="64AC1E30">
            <w:pPr>
              <w:spacing w:line="360" w:lineRule="auto"/>
              <w:jc w:val="center"/>
              <w:rPr>
                <w:rFonts w:hint="eastAsia" w:ascii="宋体" w:hAnsi="宋体" w:cs="宋体"/>
                <w:szCs w:val="21"/>
              </w:rPr>
            </w:pPr>
            <w:r>
              <w:rPr>
                <w:rFonts w:hint="eastAsia" w:ascii="宋体" w:hAnsi="宋体" w:cs="宋体"/>
                <w:szCs w:val="21"/>
              </w:rPr>
              <w:t>项</w:t>
            </w:r>
          </w:p>
        </w:tc>
      </w:tr>
      <w:tr w14:paraId="4AF5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142DB1C7">
            <w:pPr>
              <w:pStyle w:val="2"/>
              <w:numPr>
                <w:ilvl w:val="0"/>
                <w:numId w:val="1"/>
              </w:numPr>
              <w:spacing w:line="360" w:lineRule="auto"/>
              <w:jc w:val="center"/>
              <w:rPr>
                <w:rFonts w:hint="eastAsia" w:ascii="宋体" w:hAnsi="宋体" w:cs="宋体"/>
                <w:szCs w:val="21"/>
              </w:rPr>
            </w:pPr>
          </w:p>
        </w:tc>
        <w:tc>
          <w:tcPr>
            <w:tcW w:w="5846" w:type="dxa"/>
            <w:noWrap w:val="0"/>
            <w:vAlign w:val="center"/>
          </w:tcPr>
          <w:p w14:paraId="2F4B3655">
            <w:pPr>
              <w:spacing w:line="360" w:lineRule="auto"/>
              <w:jc w:val="center"/>
              <w:rPr>
                <w:rFonts w:hint="eastAsia" w:ascii="宋体" w:hAnsi="宋体" w:cs="宋体"/>
                <w:szCs w:val="21"/>
              </w:rPr>
            </w:pPr>
            <w:r>
              <w:rPr>
                <w:rFonts w:hint="eastAsia" w:ascii="宋体" w:hAnsi="宋体" w:cs="宋体"/>
                <w:szCs w:val="21"/>
              </w:rPr>
              <w:t>网站证书服务</w:t>
            </w:r>
          </w:p>
        </w:tc>
        <w:tc>
          <w:tcPr>
            <w:tcW w:w="1473" w:type="dxa"/>
            <w:noWrap w:val="0"/>
            <w:vAlign w:val="center"/>
          </w:tcPr>
          <w:p w14:paraId="72B559CE">
            <w:pPr>
              <w:spacing w:line="360" w:lineRule="auto"/>
              <w:jc w:val="center"/>
              <w:rPr>
                <w:rFonts w:hint="eastAsia" w:ascii="宋体" w:hAnsi="宋体" w:cs="宋体"/>
                <w:szCs w:val="21"/>
              </w:rPr>
            </w:pPr>
            <w:r>
              <w:rPr>
                <w:rFonts w:hint="eastAsia" w:ascii="宋体" w:hAnsi="宋体" w:cs="宋体"/>
                <w:szCs w:val="21"/>
              </w:rPr>
              <w:t>1</w:t>
            </w:r>
          </w:p>
        </w:tc>
        <w:tc>
          <w:tcPr>
            <w:tcW w:w="1363" w:type="dxa"/>
            <w:noWrap w:val="0"/>
            <w:vAlign w:val="center"/>
          </w:tcPr>
          <w:p w14:paraId="3E4CB09F">
            <w:pPr>
              <w:spacing w:line="360" w:lineRule="auto"/>
              <w:jc w:val="center"/>
              <w:rPr>
                <w:rFonts w:hint="eastAsia" w:ascii="宋体" w:hAnsi="宋体" w:cs="宋体"/>
                <w:szCs w:val="21"/>
              </w:rPr>
            </w:pPr>
            <w:r>
              <w:rPr>
                <w:rFonts w:hint="eastAsia" w:ascii="宋体" w:hAnsi="宋体" w:cs="宋体"/>
                <w:szCs w:val="21"/>
              </w:rPr>
              <w:t>项</w:t>
            </w:r>
          </w:p>
        </w:tc>
      </w:tr>
      <w:tr w14:paraId="1B91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427D65DF">
            <w:pPr>
              <w:pStyle w:val="2"/>
              <w:numPr>
                <w:ilvl w:val="0"/>
                <w:numId w:val="1"/>
              </w:numPr>
              <w:spacing w:line="360" w:lineRule="auto"/>
              <w:jc w:val="center"/>
              <w:rPr>
                <w:rFonts w:hint="eastAsia" w:ascii="宋体" w:hAnsi="宋体" w:cs="宋体"/>
                <w:szCs w:val="21"/>
              </w:rPr>
            </w:pPr>
          </w:p>
        </w:tc>
        <w:tc>
          <w:tcPr>
            <w:tcW w:w="5846" w:type="dxa"/>
            <w:noWrap w:val="0"/>
            <w:vAlign w:val="top"/>
          </w:tcPr>
          <w:p w14:paraId="23CF8029">
            <w:pPr>
              <w:pStyle w:val="2"/>
              <w:spacing w:line="360" w:lineRule="auto"/>
              <w:ind w:firstLine="0"/>
              <w:jc w:val="center"/>
              <w:rPr>
                <w:rFonts w:hint="eastAsia" w:ascii="宋体" w:hAnsi="宋体" w:cs="宋体"/>
                <w:szCs w:val="21"/>
              </w:rPr>
            </w:pPr>
            <w:r>
              <w:rPr>
                <w:rFonts w:hint="eastAsia" w:ascii="宋体" w:hAnsi="宋体" w:cs="宋体"/>
                <w:szCs w:val="21"/>
              </w:rPr>
              <w:t>终端安全加固服务</w:t>
            </w:r>
          </w:p>
        </w:tc>
        <w:tc>
          <w:tcPr>
            <w:tcW w:w="1473" w:type="dxa"/>
            <w:noWrap w:val="0"/>
            <w:vAlign w:val="center"/>
          </w:tcPr>
          <w:p w14:paraId="26DFA8A2">
            <w:pPr>
              <w:spacing w:line="360" w:lineRule="auto"/>
              <w:jc w:val="center"/>
              <w:rPr>
                <w:rFonts w:hint="eastAsia" w:ascii="宋体" w:hAnsi="宋体" w:cs="宋体"/>
                <w:szCs w:val="21"/>
              </w:rPr>
            </w:pPr>
            <w:r>
              <w:rPr>
                <w:rFonts w:hint="eastAsia" w:ascii="宋体" w:hAnsi="宋体" w:cs="宋体"/>
                <w:szCs w:val="21"/>
              </w:rPr>
              <w:t>1</w:t>
            </w:r>
          </w:p>
        </w:tc>
        <w:tc>
          <w:tcPr>
            <w:tcW w:w="1363" w:type="dxa"/>
            <w:noWrap w:val="0"/>
            <w:vAlign w:val="center"/>
          </w:tcPr>
          <w:p w14:paraId="53B98081">
            <w:pPr>
              <w:spacing w:line="360" w:lineRule="auto"/>
              <w:jc w:val="center"/>
              <w:rPr>
                <w:rFonts w:hint="eastAsia" w:ascii="宋体" w:hAnsi="宋体" w:cs="宋体"/>
                <w:szCs w:val="21"/>
              </w:rPr>
            </w:pPr>
            <w:r>
              <w:rPr>
                <w:rFonts w:hint="eastAsia" w:ascii="宋体" w:hAnsi="宋体" w:cs="宋体"/>
                <w:szCs w:val="21"/>
              </w:rPr>
              <w:t>项</w:t>
            </w:r>
          </w:p>
        </w:tc>
      </w:tr>
      <w:tr w14:paraId="0954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51B1B5A1">
            <w:pPr>
              <w:pStyle w:val="2"/>
              <w:numPr>
                <w:ilvl w:val="0"/>
                <w:numId w:val="1"/>
              </w:numPr>
              <w:spacing w:line="360" w:lineRule="auto"/>
              <w:jc w:val="center"/>
              <w:rPr>
                <w:rFonts w:hint="eastAsia" w:ascii="宋体" w:hAnsi="宋体" w:cs="宋体"/>
                <w:szCs w:val="21"/>
              </w:rPr>
            </w:pPr>
          </w:p>
        </w:tc>
        <w:tc>
          <w:tcPr>
            <w:tcW w:w="5846" w:type="dxa"/>
            <w:noWrap w:val="0"/>
            <w:vAlign w:val="center"/>
          </w:tcPr>
          <w:p w14:paraId="76AAF1BD">
            <w:pPr>
              <w:spacing w:line="360" w:lineRule="auto"/>
              <w:jc w:val="center"/>
              <w:rPr>
                <w:rFonts w:hint="eastAsia" w:ascii="宋体" w:hAnsi="宋体" w:cs="宋体"/>
                <w:szCs w:val="21"/>
              </w:rPr>
            </w:pPr>
            <w:r>
              <w:rPr>
                <w:rFonts w:hint="eastAsia" w:ascii="宋体" w:hAnsi="宋体" w:cs="宋体"/>
                <w:szCs w:val="21"/>
              </w:rPr>
              <w:t>网络安全的应急演练服务</w:t>
            </w:r>
          </w:p>
        </w:tc>
        <w:tc>
          <w:tcPr>
            <w:tcW w:w="1473" w:type="dxa"/>
            <w:noWrap w:val="0"/>
            <w:vAlign w:val="center"/>
          </w:tcPr>
          <w:p w14:paraId="67683C7A">
            <w:pPr>
              <w:spacing w:line="360" w:lineRule="auto"/>
              <w:jc w:val="center"/>
              <w:rPr>
                <w:rFonts w:hint="eastAsia" w:ascii="宋体" w:hAnsi="宋体" w:cs="宋体"/>
                <w:szCs w:val="21"/>
              </w:rPr>
            </w:pPr>
            <w:r>
              <w:rPr>
                <w:rFonts w:hint="eastAsia" w:ascii="宋体" w:hAnsi="宋体" w:cs="宋体"/>
                <w:szCs w:val="21"/>
              </w:rPr>
              <w:t>1</w:t>
            </w:r>
          </w:p>
        </w:tc>
        <w:tc>
          <w:tcPr>
            <w:tcW w:w="1363" w:type="dxa"/>
            <w:noWrap w:val="0"/>
            <w:vAlign w:val="center"/>
          </w:tcPr>
          <w:p w14:paraId="0B86A9F1">
            <w:pPr>
              <w:spacing w:line="360" w:lineRule="auto"/>
              <w:jc w:val="center"/>
              <w:rPr>
                <w:rFonts w:hint="eastAsia" w:ascii="宋体" w:hAnsi="宋体" w:cs="宋体"/>
                <w:szCs w:val="21"/>
              </w:rPr>
            </w:pPr>
            <w:r>
              <w:rPr>
                <w:rFonts w:hint="eastAsia" w:ascii="宋体" w:hAnsi="宋体" w:cs="宋体"/>
                <w:szCs w:val="21"/>
              </w:rPr>
              <w:t>次</w:t>
            </w:r>
          </w:p>
        </w:tc>
      </w:tr>
      <w:tr w14:paraId="71B6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6AA052CD">
            <w:pPr>
              <w:pStyle w:val="2"/>
              <w:numPr>
                <w:ilvl w:val="0"/>
                <w:numId w:val="1"/>
              </w:numPr>
              <w:spacing w:line="360" w:lineRule="auto"/>
              <w:jc w:val="center"/>
              <w:rPr>
                <w:rFonts w:hint="eastAsia" w:ascii="宋体" w:hAnsi="宋体" w:cs="宋体"/>
                <w:szCs w:val="21"/>
              </w:rPr>
            </w:pPr>
          </w:p>
        </w:tc>
        <w:tc>
          <w:tcPr>
            <w:tcW w:w="5846" w:type="dxa"/>
            <w:noWrap w:val="0"/>
            <w:vAlign w:val="center"/>
          </w:tcPr>
          <w:p w14:paraId="2AC8304A">
            <w:pPr>
              <w:spacing w:line="360" w:lineRule="auto"/>
              <w:jc w:val="center"/>
              <w:rPr>
                <w:rFonts w:hint="eastAsia" w:ascii="宋体" w:hAnsi="宋体" w:cs="宋体"/>
                <w:szCs w:val="21"/>
              </w:rPr>
            </w:pPr>
            <w:r>
              <w:rPr>
                <w:rFonts w:hint="eastAsia" w:ascii="宋体" w:hAnsi="宋体" w:cs="宋体"/>
                <w:szCs w:val="21"/>
              </w:rPr>
              <w:t>漏洞扫描服务</w:t>
            </w:r>
          </w:p>
        </w:tc>
        <w:tc>
          <w:tcPr>
            <w:tcW w:w="1473" w:type="dxa"/>
            <w:noWrap w:val="0"/>
            <w:vAlign w:val="center"/>
          </w:tcPr>
          <w:p w14:paraId="3E2E6DDC">
            <w:pPr>
              <w:spacing w:line="360" w:lineRule="auto"/>
              <w:jc w:val="center"/>
              <w:rPr>
                <w:rFonts w:hint="eastAsia" w:ascii="宋体" w:hAnsi="宋体" w:cs="宋体"/>
                <w:szCs w:val="21"/>
              </w:rPr>
            </w:pPr>
            <w:r>
              <w:rPr>
                <w:rFonts w:hint="eastAsia" w:ascii="宋体" w:hAnsi="宋体" w:cs="宋体"/>
                <w:szCs w:val="21"/>
              </w:rPr>
              <w:t>14</w:t>
            </w:r>
          </w:p>
        </w:tc>
        <w:tc>
          <w:tcPr>
            <w:tcW w:w="1363" w:type="dxa"/>
            <w:noWrap w:val="0"/>
            <w:vAlign w:val="center"/>
          </w:tcPr>
          <w:p w14:paraId="19EE1C31">
            <w:pPr>
              <w:spacing w:line="360" w:lineRule="auto"/>
              <w:jc w:val="center"/>
              <w:rPr>
                <w:rFonts w:hint="eastAsia" w:ascii="宋体" w:hAnsi="宋体" w:cs="宋体"/>
                <w:szCs w:val="21"/>
              </w:rPr>
            </w:pPr>
            <w:r>
              <w:rPr>
                <w:rFonts w:hint="eastAsia" w:ascii="宋体" w:hAnsi="宋体" w:cs="宋体"/>
                <w:szCs w:val="21"/>
              </w:rPr>
              <w:t>次</w:t>
            </w:r>
          </w:p>
        </w:tc>
      </w:tr>
      <w:tr w14:paraId="777B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505DBBB2">
            <w:pPr>
              <w:pStyle w:val="2"/>
              <w:numPr>
                <w:ilvl w:val="0"/>
                <w:numId w:val="1"/>
              </w:numPr>
              <w:spacing w:line="360" w:lineRule="auto"/>
              <w:jc w:val="center"/>
              <w:rPr>
                <w:rFonts w:hint="eastAsia" w:ascii="宋体" w:hAnsi="宋体" w:cs="宋体"/>
                <w:szCs w:val="21"/>
              </w:rPr>
            </w:pPr>
          </w:p>
        </w:tc>
        <w:tc>
          <w:tcPr>
            <w:tcW w:w="5846" w:type="dxa"/>
            <w:noWrap w:val="0"/>
            <w:vAlign w:val="top"/>
          </w:tcPr>
          <w:p w14:paraId="4DA2AD6B">
            <w:pPr>
              <w:pStyle w:val="2"/>
              <w:spacing w:line="360" w:lineRule="auto"/>
              <w:ind w:firstLine="0"/>
              <w:jc w:val="center"/>
              <w:rPr>
                <w:rFonts w:hint="eastAsia" w:ascii="宋体" w:hAnsi="宋体" w:cs="宋体"/>
                <w:szCs w:val="21"/>
              </w:rPr>
            </w:pPr>
            <w:r>
              <w:rPr>
                <w:rFonts w:hint="eastAsia" w:ascii="宋体" w:hAnsi="宋体" w:cs="宋体"/>
                <w:szCs w:val="21"/>
              </w:rPr>
              <w:t>日志审计分析溯源服务</w:t>
            </w:r>
          </w:p>
        </w:tc>
        <w:tc>
          <w:tcPr>
            <w:tcW w:w="1473" w:type="dxa"/>
            <w:noWrap w:val="0"/>
            <w:vAlign w:val="center"/>
          </w:tcPr>
          <w:p w14:paraId="0EB58A8E">
            <w:pPr>
              <w:spacing w:line="360" w:lineRule="auto"/>
              <w:jc w:val="center"/>
              <w:rPr>
                <w:rFonts w:hint="eastAsia" w:ascii="宋体" w:hAnsi="宋体" w:cs="宋体"/>
                <w:szCs w:val="21"/>
              </w:rPr>
            </w:pPr>
            <w:r>
              <w:rPr>
                <w:rFonts w:hint="eastAsia" w:ascii="宋体" w:hAnsi="宋体" w:cs="宋体"/>
                <w:szCs w:val="21"/>
              </w:rPr>
              <w:t>1</w:t>
            </w:r>
          </w:p>
        </w:tc>
        <w:tc>
          <w:tcPr>
            <w:tcW w:w="1363" w:type="dxa"/>
            <w:noWrap w:val="0"/>
            <w:vAlign w:val="center"/>
          </w:tcPr>
          <w:p w14:paraId="6073484A">
            <w:pPr>
              <w:spacing w:line="360" w:lineRule="auto"/>
              <w:jc w:val="center"/>
              <w:rPr>
                <w:rFonts w:hint="eastAsia" w:ascii="宋体" w:hAnsi="宋体" w:cs="宋体"/>
                <w:szCs w:val="21"/>
              </w:rPr>
            </w:pPr>
            <w:r>
              <w:rPr>
                <w:rFonts w:hint="eastAsia" w:ascii="宋体" w:hAnsi="宋体" w:cs="宋体"/>
                <w:szCs w:val="21"/>
              </w:rPr>
              <w:t>项</w:t>
            </w:r>
          </w:p>
        </w:tc>
      </w:tr>
      <w:tr w14:paraId="62B5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470C1BE6">
            <w:pPr>
              <w:pStyle w:val="2"/>
              <w:numPr>
                <w:ilvl w:val="0"/>
                <w:numId w:val="1"/>
              </w:numPr>
              <w:spacing w:line="360" w:lineRule="auto"/>
              <w:jc w:val="center"/>
              <w:rPr>
                <w:rFonts w:hint="eastAsia" w:ascii="宋体" w:hAnsi="宋体" w:cs="宋体"/>
                <w:szCs w:val="21"/>
              </w:rPr>
            </w:pPr>
          </w:p>
        </w:tc>
        <w:tc>
          <w:tcPr>
            <w:tcW w:w="5846" w:type="dxa"/>
            <w:noWrap w:val="0"/>
            <w:vAlign w:val="center"/>
          </w:tcPr>
          <w:p w14:paraId="26B81613">
            <w:pPr>
              <w:spacing w:line="360" w:lineRule="auto"/>
              <w:jc w:val="center"/>
              <w:rPr>
                <w:rFonts w:hint="eastAsia" w:ascii="宋体" w:hAnsi="宋体" w:cs="宋体"/>
                <w:szCs w:val="21"/>
              </w:rPr>
            </w:pPr>
            <w:r>
              <w:rPr>
                <w:rFonts w:hint="eastAsia" w:ascii="宋体" w:hAnsi="宋体" w:cs="宋体"/>
                <w:szCs w:val="21"/>
              </w:rPr>
              <w:t>服务器威胁分析服务</w:t>
            </w:r>
          </w:p>
        </w:tc>
        <w:tc>
          <w:tcPr>
            <w:tcW w:w="1473" w:type="dxa"/>
            <w:noWrap w:val="0"/>
            <w:vAlign w:val="center"/>
          </w:tcPr>
          <w:p w14:paraId="1497461D">
            <w:pPr>
              <w:spacing w:line="360" w:lineRule="auto"/>
              <w:jc w:val="center"/>
              <w:rPr>
                <w:rFonts w:hint="eastAsia" w:ascii="宋体" w:hAnsi="宋体" w:cs="宋体"/>
                <w:szCs w:val="21"/>
              </w:rPr>
            </w:pPr>
            <w:r>
              <w:rPr>
                <w:rFonts w:hint="eastAsia" w:ascii="宋体" w:hAnsi="宋体" w:cs="宋体"/>
                <w:szCs w:val="21"/>
              </w:rPr>
              <w:t>2</w:t>
            </w:r>
          </w:p>
        </w:tc>
        <w:tc>
          <w:tcPr>
            <w:tcW w:w="1363" w:type="dxa"/>
            <w:noWrap w:val="0"/>
            <w:vAlign w:val="center"/>
          </w:tcPr>
          <w:p w14:paraId="6934755D">
            <w:pPr>
              <w:spacing w:line="360" w:lineRule="auto"/>
              <w:jc w:val="center"/>
              <w:rPr>
                <w:rFonts w:hint="eastAsia" w:ascii="宋体" w:hAnsi="宋体" w:cs="宋体"/>
                <w:szCs w:val="21"/>
              </w:rPr>
            </w:pPr>
            <w:r>
              <w:rPr>
                <w:rFonts w:hint="eastAsia" w:ascii="宋体" w:hAnsi="宋体" w:cs="宋体"/>
                <w:szCs w:val="21"/>
              </w:rPr>
              <w:t>次</w:t>
            </w:r>
          </w:p>
        </w:tc>
      </w:tr>
      <w:tr w14:paraId="0C3B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10D5869F">
            <w:pPr>
              <w:pStyle w:val="2"/>
              <w:numPr>
                <w:ilvl w:val="0"/>
                <w:numId w:val="1"/>
              </w:numPr>
              <w:spacing w:line="360" w:lineRule="auto"/>
              <w:jc w:val="center"/>
              <w:rPr>
                <w:rFonts w:hint="eastAsia" w:ascii="宋体" w:hAnsi="宋体" w:cs="宋体"/>
                <w:szCs w:val="21"/>
              </w:rPr>
            </w:pPr>
          </w:p>
        </w:tc>
        <w:tc>
          <w:tcPr>
            <w:tcW w:w="5846" w:type="dxa"/>
            <w:noWrap w:val="0"/>
            <w:vAlign w:val="center"/>
          </w:tcPr>
          <w:p w14:paraId="48F9BFD3">
            <w:pPr>
              <w:spacing w:line="360" w:lineRule="auto"/>
              <w:jc w:val="center"/>
              <w:rPr>
                <w:rFonts w:hint="eastAsia" w:ascii="宋体" w:hAnsi="宋体" w:cs="宋体"/>
                <w:szCs w:val="21"/>
              </w:rPr>
            </w:pPr>
            <w:r>
              <w:rPr>
                <w:rFonts w:hint="eastAsia" w:ascii="宋体" w:hAnsi="宋体" w:cs="宋体"/>
                <w:szCs w:val="21"/>
              </w:rPr>
              <w:t>API安全分析服务</w:t>
            </w:r>
          </w:p>
        </w:tc>
        <w:tc>
          <w:tcPr>
            <w:tcW w:w="1473" w:type="dxa"/>
            <w:noWrap w:val="0"/>
            <w:vAlign w:val="center"/>
          </w:tcPr>
          <w:p w14:paraId="6CFE74C2">
            <w:pPr>
              <w:spacing w:line="360" w:lineRule="auto"/>
              <w:jc w:val="center"/>
              <w:rPr>
                <w:rFonts w:hint="eastAsia" w:ascii="宋体" w:hAnsi="宋体" w:cs="宋体"/>
                <w:szCs w:val="21"/>
              </w:rPr>
            </w:pPr>
            <w:r>
              <w:rPr>
                <w:rFonts w:hint="eastAsia" w:ascii="宋体" w:hAnsi="宋体" w:cs="宋体"/>
                <w:szCs w:val="21"/>
              </w:rPr>
              <w:t>1</w:t>
            </w:r>
          </w:p>
        </w:tc>
        <w:tc>
          <w:tcPr>
            <w:tcW w:w="1363" w:type="dxa"/>
            <w:noWrap w:val="0"/>
            <w:vAlign w:val="center"/>
          </w:tcPr>
          <w:p w14:paraId="2FD79F59">
            <w:pPr>
              <w:spacing w:line="360" w:lineRule="auto"/>
              <w:jc w:val="center"/>
              <w:rPr>
                <w:rFonts w:hint="eastAsia" w:ascii="宋体" w:hAnsi="宋体" w:cs="宋体"/>
                <w:szCs w:val="21"/>
              </w:rPr>
            </w:pPr>
            <w:r>
              <w:rPr>
                <w:rFonts w:hint="eastAsia" w:ascii="宋体" w:hAnsi="宋体" w:cs="宋体"/>
                <w:szCs w:val="21"/>
              </w:rPr>
              <w:t>次</w:t>
            </w:r>
          </w:p>
        </w:tc>
      </w:tr>
      <w:tr w14:paraId="37AB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389E5DB9">
            <w:pPr>
              <w:pStyle w:val="2"/>
              <w:numPr>
                <w:ilvl w:val="0"/>
                <w:numId w:val="1"/>
              </w:numPr>
              <w:spacing w:line="360" w:lineRule="auto"/>
              <w:jc w:val="center"/>
              <w:rPr>
                <w:rFonts w:hint="eastAsia" w:ascii="宋体" w:hAnsi="宋体" w:cs="宋体"/>
                <w:szCs w:val="21"/>
              </w:rPr>
            </w:pPr>
          </w:p>
        </w:tc>
        <w:tc>
          <w:tcPr>
            <w:tcW w:w="5846" w:type="dxa"/>
            <w:noWrap w:val="0"/>
            <w:vAlign w:val="center"/>
          </w:tcPr>
          <w:p w14:paraId="7B76510F">
            <w:pPr>
              <w:spacing w:line="360" w:lineRule="auto"/>
              <w:jc w:val="center"/>
              <w:rPr>
                <w:rFonts w:hint="eastAsia" w:ascii="宋体" w:hAnsi="宋体" w:cs="宋体"/>
                <w:szCs w:val="21"/>
              </w:rPr>
            </w:pPr>
            <w:r>
              <w:rPr>
                <w:rFonts w:hint="eastAsia" w:ascii="宋体" w:hAnsi="宋体" w:cs="宋体"/>
                <w:szCs w:val="21"/>
              </w:rPr>
              <w:t>自动化攻击防护服务</w:t>
            </w:r>
          </w:p>
        </w:tc>
        <w:tc>
          <w:tcPr>
            <w:tcW w:w="1473" w:type="dxa"/>
            <w:noWrap w:val="0"/>
            <w:vAlign w:val="center"/>
          </w:tcPr>
          <w:p w14:paraId="4DFC6564">
            <w:pPr>
              <w:spacing w:line="360" w:lineRule="auto"/>
              <w:jc w:val="center"/>
              <w:rPr>
                <w:rFonts w:hint="eastAsia" w:ascii="宋体" w:hAnsi="宋体" w:cs="宋体"/>
                <w:szCs w:val="21"/>
              </w:rPr>
            </w:pPr>
            <w:r>
              <w:rPr>
                <w:rFonts w:hint="eastAsia" w:ascii="宋体" w:hAnsi="宋体" w:cs="宋体"/>
                <w:szCs w:val="21"/>
              </w:rPr>
              <w:t>6</w:t>
            </w:r>
          </w:p>
        </w:tc>
        <w:tc>
          <w:tcPr>
            <w:tcW w:w="1363" w:type="dxa"/>
            <w:noWrap w:val="0"/>
            <w:vAlign w:val="center"/>
          </w:tcPr>
          <w:p w14:paraId="33556ACA">
            <w:pPr>
              <w:spacing w:line="360" w:lineRule="auto"/>
              <w:jc w:val="center"/>
              <w:rPr>
                <w:rFonts w:hint="eastAsia" w:ascii="宋体" w:hAnsi="宋体" w:cs="宋体"/>
                <w:szCs w:val="21"/>
              </w:rPr>
            </w:pPr>
            <w:r>
              <w:rPr>
                <w:rFonts w:hint="eastAsia" w:ascii="宋体" w:hAnsi="宋体" w:cs="宋体"/>
                <w:szCs w:val="21"/>
              </w:rPr>
              <w:t>次</w:t>
            </w:r>
          </w:p>
        </w:tc>
      </w:tr>
    </w:tbl>
    <w:p w14:paraId="0FD88B77">
      <w:pPr>
        <w:pStyle w:val="2"/>
      </w:pPr>
    </w:p>
    <w:p w14:paraId="52C79C69">
      <w:pPr>
        <w:spacing w:line="360" w:lineRule="auto"/>
        <w:rPr>
          <w:rFonts w:hint="eastAsia" w:ascii="宋体" w:hAnsi="宋体" w:cs="宋体"/>
          <w:b/>
          <w:bCs/>
          <w:color w:val="000000"/>
          <w:szCs w:val="21"/>
        </w:rPr>
      </w:pPr>
      <w:r>
        <w:rPr>
          <w:rFonts w:hint="eastAsia" w:ascii="宋体" w:hAnsi="宋体" w:cs="宋体"/>
          <w:color w:val="000000"/>
          <w:szCs w:val="21"/>
        </w:rPr>
        <w:t>二、</w:t>
      </w:r>
      <w:r>
        <w:t>★</w:t>
      </w:r>
      <w:r>
        <w:rPr>
          <w:rFonts w:hint="eastAsia" w:ascii="宋体" w:hAnsi="宋体" w:cs="宋体"/>
          <w:b/>
          <w:bCs/>
          <w:color w:val="000000"/>
          <w:szCs w:val="21"/>
        </w:rPr>
        <w:t>付款办法</w:t>
      </w:r>
    </w:p>
    <w:p w14:paraId="33D31D6E">
      <w:pPr>
        <w:pStyle w:val="2"/>
        <w:spacing w:line="360" w:lineRule="auto"/>
        <w:ind w:firstLine="630" w:firstLineChars="300"/>
        <w:rPr>
          <w:rFonts w:hint="eastAsia" w:ascii="宋体" w:hAnsi="宋体" w:cs="宋体"/>
        </w:rPr>
      </w:pPr>
      <w:r>
        <w:rPr>
          <w:rFonts w:hint="eastAsia" w:ascii="宋体" w:hAnsi="宋体" w:cs="宋体"/>
        </w:rPr>
        <w:t>1、合同款项支付要求：</w:t>
      </w:r>
    </w:p>
    <w:p w14:paraId="352AC78A">
      <w:pPr>
        <w:pStyle w:val="2"/>
        <w:spacing w:line="360" w:lineRule="auto"/>
        <w:rPr>
          <w:rFonts w:hint="eastAsia" w:ascii="宋体" w:hAnsi="宋体" w:cs="宋体"/>
          <w:lang w:val="en-GB"/>
        </w:rPr>
      </w:pPr>
      <w:r>
        <w:rPr>
          <w:rFonts w:hint="eastAsia" w:ascii="宋体" w:hAnsi="宋体" w:cs="宋体"/>
          <w:lang w:val="en-GB"/>
        </w:rPr>
        <w:t>（1）合同签订生效后，采购人收到发票之日起</w:t>
      </w:r>
      <w:r>
        <w:rPr>
          <w:rFonts w:hint="eastAsia" w:ascii="宋体" w:hAnsi="宋体" w:cs="宋体"/>
        </w:rPr>
        <w:t>10</w:t>
      </w:r>
      <w:r>
        <w:rPr>
          <w:rFonts w:hint="eastAsia" w:ascii="宋体" w:hAnsi="宋体" w:cs="宋体"/>
          <w:lang w:val="en-GB"/>
        </w:rPr>
        <w:t>个工作日内，采购人向中标人支付合同总额</w:t>
      </w:r>
      <w:r>
        <w:rPr>
          <w:rFonts w:hint="eastAsia" w:ascii="宋体" w:hAnsi="宋体" w:cs="宋体"/>
        </w:rPr>
        <w:t>5</w:t>
      </w:r>
      <w:r>
        <w:rPr>
          <w:rFonts w:hint="eastAsia" w:ascii="宋体" w:hAnsi="宋体" w:cs="宋体"/>
          <w:lang w:val="en-GB"/>
        </w:rPr>
        <w:t>0%的</w:t>
      </w:r>
      <w:r>
        <w:rPr>
          <w:rFonts w:hint="eastAsia" w:ascii="宋体" w:hAnsi="宋体" w:cs="宋体"/>
        </w:rPr>
        <w:t>预付款</w:t>
      </w:r>
      <w:r>
        <w:rPr>
          <w:rFonts w:hint="eastAsia" w:ascii="宋体" w:hAnsi="宋体" w:cs="宋体"/>
          <w:lang w:val="en-GB"/>
        </w:rPr>
        <w:t>。</w:t>
      </w:r>
    </w:p>
    <w:p w14:paraId="4F3C9A7F">
      <w:pPr>
        <w:pStyle w:val="2"/>
        <w:spacing w:line="360" w:lineRule="auto"/>
        <w:rPr>
          <w:rFonts w:hint="eastAsia" w:ascii="宋体" w:hAnsi="宋体" w:cs="宋体"/>
          <w:lang w:val="en-GB"/>
        </w:rPr>
      </w:pPr>
      <w:r>
        <w:rPr>
          <w:rFonts w:hint="eastAsia" w:ascii="宋体" w:hAnsi="宋体" w:cs="宋体"/>
          <w:lang w:val="en-GB"/>
        </w:rPr>
        <w:t>（2）项目验收合格后，采购人收到发票之日起</w:t>
      </w:r>
      <w:r>
        <w:rPr>
          <w:rFonts w:hint="eastAsia" w:ascii="宋体" w:hAnsi="宋体" w:cs="宋体"/>
        </w:rPr>
        <w:t>10</w:t>
      </w:r>
      <w:r>
        <w:rPr>
          <w:rFonts w:hint="eastAsia" w:ascii="宋体" w:hAnsi="宋体" w:cs="宋体"/>
          <w:lang w:val="en-GB"/>
        </w:rPr>
        <w:t>个工作日内，采购人向中标人支付合同总额</w:t>
      </w:r>
      <w:r>
        <w:rPr>
          <w:rFonts w:hint="eastAsia" w:ascii="宋体" w:hAnsi="宋体" w:cs="宋体"/>
        </w:rPr>
        <w:t>5</w:t>
      </w:r>
      <w:r>
        <w:rPr>
          <w:rFonts w:hint="eastAsia" w:ascii="宋体" w:hAnsi="宋体" w:cs="宋体"/>
          <w:lang w:val="en-GB"/>
        </w:rPr>
        <w:t>0%的</w:t>
      </w:r>
      <w:r>
        <w:rPr>
          <w:rFonts w:hint="eastAsia" w:ascii="宋体" w:hAnsi="宋体" w:cs="宋体"/>
        </w:rPr>
        <w:t>尾款</w:t>
      </w:r>
      <w:r>
        <w:rPr>
          <w:rFonts w:hint="eastAsia" w:ascii="宋体" w:hAnsi="宋体" w:cs="宋体"/>
          <w:lang w:val="en-GB"/>
        </w:rPr>
        <w:t>。</w:t>
      </w:r>
    </w:p>
    <w:p w14:paraId="5771254B">
      <w:pPr>
        <w:spacing w:line="360" w:lineRule="auto"/>
        <w:ind w:firstLine="420" w:firstLineChars="200"/>
        <w:rPr>
          <w:rFonts w:hint="eastAsia" w:ascii="宋体" w:hAnsi="宋体" w:cs="宋体"/>
          <w:lang w:val="en-GB"/>
        </w:rPr>
      </w:pPr>
      <w:r>
        <w:rPr>
          <w:rFonts w:hint="eastAsia" w:ascii="宋体" w:hAnsi="宋体" w:cs="宋体"/>
          <w:lang w:val="en-GB"/>
        </w:rPr>
        <w:t>（</w:t>
      </w:r>
      <w:r>
        <w:rPr>
          <w:rFonts w:hint="eastAsia" w:ascii="宋体" w:hAnsi="宋体" w:cs="宋体"/>
        </w:rPr>
        <w:t>3</w:t>
      </w:r>
      <w:r>
        <w:rPr>
          <w:rFonts w:hint="eastAsia" w:ascii="宋体" w:hAnsi="宋体" w:cs="宋体"/>
          <w:lang w:val="en-GB"/>
        </w:rPr>
        <w:t>）</w:t>
      </w:r>
      <w:r>
        <w:rPr>
          <w:rFonts w:hint="eastAsia" w:ascii="宋体" w:hAnsi="宋体" w:cs="宋体"/>
        </w:rPr>
        <w:t>因采购人使用的是财政资金，采购人在前款规定的付款时间内向支付部门提出办理财政支付</w:t>
      </w:r>
      <w:r>
        <w:rPr>
          <w:rFonts w:hint="eastAsia"/>
        </w:rPr>
        <w:t>申请手续的时间（不含政府财政支付部门审核的时间）即视为采购人已经按期支付，实际付款时间及金额以财</w:t>
      </w:r>
      <w:r>
        <w:rPr>
          <w:rFonts w:hint="eastAsia" w:ascii="宋体" w:hAnsi="宋体" w:cs="宋体"/>
        </w:rPr>
        <w:t>政部门实际下达时间及金额为准。</w:t>
      </w:r>
    </w:p>
    <w:p w14:paraId="23203458">
      <w:pPr>
        <w:pStyle w:val="2"/>
        <w:spacing w:line="360" w:lineRule="auto"/>
        <w:ind w:firstLine="630" w:firstLineChars="300"/>
        <w:rPr>
          <w:rFonts w:hint="eastAsia" w:ascii="宋体" w:hAnsi="宋体" w:cs="宋体"/>
        </w:rPr>
      </w:pPr>
      <w:r>
        <w:rPr>
          <w:rFonts w:hint="eastAsia" w:ascii="宋体" w:hAnsi="宋体" w:cs="宋体"/>
        </w:rPr>
        <w:t>2、结算方式：转账结算（银行转账）。</w:t>
      </w:r>
    </w:p>
    <w:p w14:paraId="40BE9514">
      <w:pPr>
        <w:pStyle w:val="2"/>
        <w:spacing w:line="360" w:lineRule="auto"/>
        <w:ind w:firstLine="630" w:firstLineChars="300"/>
        <w:rPr>
          <w:rFonts w:hint="eastAsia" w:ascii="宋体" w:hAnsi="宋体" w:cs="宋体"/>
        </w:rPr>
      </w:pPr>
      <w:r>
        <w:rPr>
          <w:rFonts w:hint="eastAsia" w:ascii="宋体" w:hAnsi="宋体" w:cs="宋体"/>
        </w:rPr>
        <w:t>3、付款方：采购人；收款方：中标人。</w:t>
      </w:r>
    </w:p>
    <w:p w14:paraId="0EA87DD4">
      <w:pPr>
        <w:pStyle w:val="2"/>
        <w:spacing w:line="360" w:lineRule="auto"/>
        <w:ind w:firstLine="630" w:firstLineChars="300"/>
        <w:rPr>
          <w:rFonts w:hint="eastAsia" w:ascii="宋体" w:hAnsi="宋体" w:cs="宋体"/>
        </w:rPr>
      </w:pPr>
      <w:r>
        <w:rPr>
          <w:rFonts w:hint="eastAsia" w:ascii="宋体" w:hAnsi="宋体" w:cs="宋体"/>
        </w:rPr>
        <w:t>4、开具发票：中标人收款时必须持有等额效发票。收款方、出具发票方、合同乙方均必须与中标人名称一致。</w:t>
      </w:r>
    </w:p>
    <w:p w14:paraId="38321605">
      <w:pPr>
        <w:pStyle w:val="2"/>
        <w:spacing w:line="360" w:lineRule="auto"/>
        <w:ind w:firstLine="630" w:firstLineChars="300"/>
        <w:rPr>
          <w:rFonts w:hint="eastAsia" w:ascii="宋体" w:hAnsi="宋体" w:cs="宋体"/>
        </w:rPr>
      </w:pPr>
      <w:r>
        <w:rPr>
          <w:rFonts w:hint="eastAsia" w:ascii="宋体" w:hAnsi="宋体" w:cs="宋体"/>
        </w:rPr>
        <w:t>5、</w:t>
      </w:r>
      <w:r>
        <w:rPr>
          <w:rFonts w:hint="eastAsia" w:ascii="宋体" w:hAnsi="宋体" w:cs="宋体"/>
          <w:lang w:val="en-GB"/>
        </w:rPr>
        <w:t>对于满足合同支付条件的，采购人原则上在收到发票后</w:t>
      </w:r>
      <w:r>
        <w:rPr>
          <w:rFonts w:hint="eastAsia" w:ascii="宋体" w:hAnsi="宋体" w:cs="宋体"/>
        </w:rPr>
        <w:t>10</w:t>
      </w:r>
      <w:r>
        <w:rPr>
          <w:rFonts w:hint="eastAsia" w:ascii="宋体" w:hAnsi="宋体" w:cs="宋体"/>
          <w:lang w:val="en-GB"/>
        </w:rPr>
        <w:t>个工作日内按照采购合同约定办理支付手续。</w:t>
      </w:r>
    </w:p>
    <w:p w14:paraId="4406CFDD">
      <w:pPr>
        <w:pStyle w:val="2"/>
        <w:spacing w:line="360" w:lineRule="auto"/>
        <w:ind w:firstLine="630" w:firstLineChars="300"/>
        <w:rPr>
          <w:rFonts w:hint="eastAsia" w:ascii="宋体" w:hAnsi="宋体" w:cs="宋体"/>
          <w:b/>
          <w:bCs/>
          <w:color w:val="000000"/>
          <w:szCs w:val="21"/>
        </w:rPr>
      </w:pPr>
      <w:r>
        <w:rPr>
          <w:rFonts w:hint="eastAsia" w:ascii="宋体" w:hAnsi="宋体" w:cs="宋体"/>
        </w:rPr>
        <w:t>6、付款期间如因特殊情况需调整，由双方协商处理。</w:t>
      </w:r>
    </w:p>
    <w:p w14:paraId="5EDEFC7D">
      <w:pPr>
        <w:spacing w:line="360" w:lineRule="auto"/>
        <w:rPr>
          <w:rFonts w:hint="eastAsia" w:ascii="宋体" w:hAnsi="宋体" w:cs="宋体"/>
          <w:b/>
          <w:bCs/>
          <w:color w:val="000000"/>
          <w:szCs w:val="21"/>
        </w:rPr>
      </w:pPr>
      <w:r>
        <w:rPr>
          <w:rFonts w:hint="eastAsia" w:ascii="宋体" w:hAnsi="宋体" w:cs="宋体"/>
          <w:b/>
          <w:bCs/>
          <w:color w:val="000000"/>
          <w:szCs w:val="21"/>
        </w:rPr>
        <w:t>三、报价要求</w:t>
      </w:r>
    </w:p>
    <w:p w14:paraId="081DFC01">
      <w:pPr>
        <w:pStyle w:val="2"/>
        <w:spacing w:line="360" w:lineRule="auto"/>
        <w:ind w:firstLine="630" w:firstLineChars="300"/>
        <w:rPr>
          <w:rFonts w:hint="eastAsia"/>
        </w:rPr>
      </w:pPr>
      <w:r>
        <w:rPr>
          <w:rFonts w:hint="eastAsia"/>
        </w:rPr>
        <w:t>1、本项目报价为总价报价。</w:t>
      </w:r>
    </w:p>
    <w:p w14:paraId="36C2D899">
      <w:pPr>
        <w:pStyle w:val="2"/>
        <w:spacing w:line="360" w:lineRule="auto"/>
        <w:ind w:firstLine="630" w:firstLineChars="300"/>
        <w:rPr>
          <w:rFonts w:hint="eastAsia"/>
        </w:rPr>
      </w:pPr>
      <w:r>
        <w:rPr>
          <w:rFonts w:hint="eastAsia"/>
        </w:rPr>
        <w:t>2、投标报价指投标人为完成本项目所收取的全部费用，包含但不限于以下费用：</w:t>
      </w:r>
    </w:p>
    <w:p w14:paraId="69C2FDAE">
      <w:pPr>
        <w:pStyle w:val="2"/>
        <w:spacing w:line="360" w:lineRule="auto"/>
        <w:ind w:firstLine="630" w:firstLineChars="300"/>
        <w:rPr>
          <w:rFonts w:hint="eastAsia"/>
        </w:rPr>
      </w:pPr>
      <w:r>
        <w:rPr>
          <w:rFonts w:hint="eastAsia"/>
        </w:rPr>
        <w:t>所有技术人员的工勤费用（包括工资、福利、交通、食宿、通讯、常驻现场的费用等）、维护服务过程中涉及的所有费用、全额含税发票、合同实施过程中的应预见和不可预见费用等。</w:t>
      </w:r>
    </w:p>
    <w:p w14:paraId="7BDD6BE4">
      <w:pPr>
        <w:pStyle w:val="2"/>
        <w:spacing w:line="360" w:lineRule="auto"/>
        <w:ind w:firstLine="630" w:firstLineChars="300"/>
        <w:rPr>
          <w:rFonts w:hint="eastAsia"/>
        </w:rPr>
      </w:pPr>
      <w:r>
        <w:rPr>
          <w:rFonts w:hint="eastAsia"/>
        </w:rPr>
        <w:t>3、投标人须考虑本项目在实施期间的一切可能产生的费用。</w:t>
      </w:r>
    </w:p>
    <w:p w14:paraId="1200D265">
      <w:pPr>
        <w:pStyle w:val="2"/>
        <w:spacing w:line="360" w:lineRule="auto"/>
        <w:ind w:firstLine="630" w:firstLineChars="300"/>
        <w:rPr>
          <w:rFonts w:hint="eastAsia"/>
        </w:rPr>
      </w:pPr>
      <w:r>
        <w:rPr>
          <w:rFonts w:hint="eastAsia"/>
        </w:rPr>
        <w:t>4、报价不得高于本项目的采购项目预算金额，否则视为无效报价，作无效投标处理。</w:t>
      </w:r>
    </w:p>
    <w:p w14:paraId="64DFE983">
      <w:pPr>
        <w:pStyle w:val="2"/>
        <w:spacing w:line="360" w:lineRule="auto"/>
        <w:ind w:firstLine="630" w:firstLineChars="300"/>
        <w:rPr>
          <w:rFonts w:hint="eastAsia" w:ascii="宋体" w:hAnsi="宋体" w:cs="宋体"/>
          <w:b/>
          <w:bCs/>
          <w:color w:val="000000"/>
          <w:szCs w:val="21"/>
        </w:rPr>
      </w:pPr>
      <w:r>
        <w:rPr>
          <w:rFonts w:hint="eastAsia"/>
        </w:rPr>
        <w:t>5、报价合理性：参照《政府采购货物和服务招标投标管理办法》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3D640B">
      <w:pPr>
        <w:spacing w:line="360" w:lineRule="auto"/>
        <w:rPr>
          <w:rFonts w:hint="eastAsia" w:ascii="宋体" w:hAnsi="宋体" w:cs="宋体"/>
          <w:b/>
          <w:bCs/>
          <w:color w:val="000000"/>
          <w:szCs w:val="21"/>
        </w:rPr>
      </w:pPr>
      <w:r>
        <w:rPr>
          <w:rFonts w:hint="eastAsia" w:ascii="宋体" w:hAnsi="宋体" w:cs="宋体"/>
          <w:b/>
          <w:bCs/>
          <w:color w:val="000000"/>
          <w:szCs w:val="21"/>
        </w:rPr>
        <w:t>四、</w:t>
      </w:r>
      <w:r>
        <w:t>★</w:t>
      </w:r>
      <w:r>
        <w:rPr>
          <w:rFonts w:hint="eastAsia" w:ascii="宋体" w:hAnsi="宋体" w:cs="宋体"/>
          <w:b/>
          <w:bCs/>
          <w:color w:val="000000"/>
          <w:szCs w:val="21"/>
        </w:rPr>
        <w:t>验收标准</w:t>
      </w:r>
    </w:p>
    <w:p w14:paraId="7ECC9C5A">
      <w:pPr>
        <w:pStyle w:val="2"/>
        <w:spacing w:line="360" w:lineRule="auto"/>
        <w:ind w:firstLine="630" w:firstLineChars="300"/>
        <w:rPr>
          <w:rFonts w:hint="eastAsia"/>
        </w:rPr>
      </w:pPr>
      <w:r>
        <w:rPr>
          <w:rFonts w:hint="eastAsia"/>
        </w:rPr>
        <w:t>1、验收方案：采购人原则上在收到中标人项目验收建议之日起7个工作日内,按国家有关规定、规范、学校有关规定进行验收，必要时邀请相关的专业人员或机构参与验收。</w:t>
      </w:r>
    </w:p>
    <w:p w14:paraId="30B8CBE0">
      <w:pPr>
        <w:pStyle w:val="2"/>
        <w:spacing w:line="360" w:lineRule="auto"/>
        <w:ind w:firstLine="630" w:firstLineChars="300"/>
        <w:rPr>
          <w:rFonts w:hint="eastAsia"/>
        </w:rPr>
      </w:pPr>
      <w:r>
        <w:rPr>
          <w:rFonts w:hint="eastAsia"/>
        </w:rPr>
        <w:t>2、验收所需要的费用由采购人支付。</w:t>
      </w:r>
    </w:p>
    <w:p w14:paraId="7DB33796">
      <w:pPr>
        <w:pStyle w:val="2"/>
        <w:spacing w:line="360" w:lineRule="auto"/>
        <w:ind w:firstLine="630" w:firstLineChars="300"/>
        <w:rPr>
          <w:rFonts w:hint="eastAsia"/>
        </w:rPr>
      </w:pPr>
      <w:r>
        <w:rPr>
          <w:rFonts w:hint="eastAsia"/>
        </w:rPr>
        <w:t>3、验收时须提供的运维服务文档或资料至少应包括各项服务内容中要求提供的交付物。</w:t>
      </w:r>
    </w:p>
    <w:p w14:paraId="702F9427">
      <w:pPr>
        <w:pStyle w:val="2"/>
        <w:spacing w:line="360" w:lineRule="auto"/>
        <w:ind w:firstLine="630" w:firstLineChars="300"/>
        <w:rPr>
          <w:rFonts w:hint="eastAsia"/>
        </w:rPr>
      </w:pPr>
      <w:r>
        <w:rPr>
          <w:rFonts w:hint="eastAsia"/>
        </w:rPr>
        <w:t>4、项目验收依次序对照执行标准：</w:t>
      </w:r>
    </w:p>
    <w:p w14:paraId="1DCD1947">
      <w:pPr>
        <w:pStyle w:val="2"/>
        <w:spacing w:line="360" w:lineRule="auto"/>
        <w:ind w:firstLine="630" w:firstLineChars="300"/>
        <w:rPr>
          <w:rFonts w:hint="eastAsia"/>
        </w:rPr>
      </w:pPr>
      <w:r>
        <w:rPr>
          <w:rFonts w:hint="eastAsia"/>
        </w:rPr>
        <w:t>（1）符合中华人民共和国国家和履约场地相关安全质量标准、行业技术规范标准、环保节能标准；</w:t>
      </w:r>
    </w:p>
    <w:p w14:paraId="638162A0">
      <w:pPr>
        <w:pStyle w:val="2"/>
        <w:spacing w:line="360" w:lineRule="auto"/>
        <w:ind w:firstLine="630" w:firstLineChars="300"/>
        <w:rPr>
          <w:rFonts w:hint="eastAsia"/>
        </w:rPr>
      </w:pPr>
      <w:r>
        <w:rPr>
          <w:rFonts w:hint="eastAsia"/>
        </w:rPr>
        <w:t>（2）符合招标文件和投标承诺中各方共同认可的各项要求；</w:t>
      </w:r>
    </w:p>
    <w:p w14:paraId="5E488B07">
      <w:pPr>
        <w:pStyle w:val="2"/>
        <w:spacing w:line="360" w:lineRule="auto"/>
        <w:ind w:firstLine="630" w:firstLineChars="300"/>
        <w:rPr>
          <w:rFonts w:hint="eastAsia"/>
        </w:rPr>
      </w:pPr>
      <w:r>
        <w:rPr>
          <w:rFonts w:hint="eastAsia"/>
        </w:rPr>
        <w:t>（3）双方约定的其他验收标准。</w:t>
      </w:r>
    </w:p>
    <w:p w14:paraId="624188D8">
      <w:pPr>
        <w:pStyle w:val="2"/>
        <w:spacing w:line="360" w:lineRule="auto"/>
        <w:ind w:firstLine="630" w:firstLineChars="300"/>
        <w:rPr>
          <w:rFonts w:hint="eastAsia"/>
        </w:rPr>
      </w:pPr>
      <w:r>
        <w:rPr>
          <w:rFonts w:hint="eastAsia"/>
        </w:rPr>
        <w:t xml:space="preserve">（以上各类标准与法规必须是有关官方机构最新发布的现行标准版本） </w:t>
      </w:r>
    </w:p>
    <w:p w14:paraId="31529B30">
      <w:pPr>
        <w:pStyle w:val="2"/>
        <w:spacing w:line="360" w:lineRule="auto"/>
        <w:ind w:firstLine="630" w:firstLineChars="300"/>
        <w:rPr>
          <w:rFonts w:hint="eastAsia"/>
        </w:rPr>
      </w:pPr>
      <w:r>
        <w:rPr>
          <w:rFonts w:hint="eastAsia"/>
        </w:rPr>
        <w:t>5、验收人员：包括：①采购人（项目负责人），②校内外专家或其委托的第三方机构（如监理公司等），③中标人等，具体参与人员以采购人最终确认为准。</w:t>
      </w:r>
    </w:p>
    <w:p w14:paraId="00ADC9C4">
      <w:pPr>
        <w:pStyle w:val="2"/>
        <w:spacing w:line="360" w:lineRule="auto"/>
        <w:ind w:firstLine="630" w:firstLineChars="300"/>
        <w:rPr>
          <w:rFonts w:hint="eastAsia" w:ascii="宋体" w:hAnsi="宋体" w:cs="宋体"/>
          <w:color w:val="000000"/>
          <w:szCs w:val="21"/>
        </w:rPr>
      </w:pPr>
      <w:r>
        <w:rPr>
          <w:rFonts w:hint="eastAsia"/>
        </w:rPr>
        <w:t>6、验收结果确认：验收完毕由采购人、中标人在验收报告上签名确认。</w:t>
      </w:r>
    </w:p>
    <w:p w14:paraId="2D16BE2C">
      <w:pPr>
        <w:spacing w:line="360" w:lineRule="auto"/>
        <w:rPr>
          <w:rFonts w:hint="eastAsia" w:ascii="宋体" w:hAnsi="宋体" w:cs="宋体"/>
          <w:b/>
          <w:bCs/>
          <w:color w:val="000000"/>
          <w:szCs w:val="21"/>
        </w:rPr>
      </w:pPr>
      <w:r>
        <w:rPr>
          <w:rFonts w:hint="eastAsia" w:ascii="宋体" w:hAnsi="宋体" w:cs="宋体"/>
          <w:b/>
          <w:bCs/>
          <w:color w:val="000000"/>
          <w:szCs w:val="21"/>
        </w:rPr>
        <w:t>五、人员管理要求</w:t>
      </w:r>
    </w:p>
    <w:p w14:paraId="462A8F5C">
      <w:pPr>
        <w:spacing w:line="312" w:lineRule="auto"/>
        <w:ind w:firstLine="420" w:firstLineChars="200"/>
        <w:rPr>
          <w:rFonts w:hint="eastAsia" w:ascii="宋体" w:hAnsi="宋体"/>
          <w:szCs w:val="21"/>
          <w:lang w:val="en-GB"/>
        </w:rPr>
      </w:pPr>
      <w:r>
        <w:rPr>
          <w:rFonts w:hint="eastAsia" w:ascii="宋体" w:hAnsi="宋体"/>
          <w:szCs w:val="21"/>
        </w:rPr>
        <w:t>1、</w:t>
      </w:r>
      <w:r>
        <w:rPr>
          <w:rFonts w:hint="eastAsia" w:ascii="宋体" w:hAnsi="宋体"/>
          <w:szCs w:val="21"/>
          <w:lang w:val="en-GB"/>
        </w:rPr>
        <w:t>驻场人员应严格遵守有关法律法规和政府内部规章制度，不得擅自翻阅、复制、传播所接触的资料或数据。</w:t>
      </w:r>
    </w:p>
    <w:p w14:paraId="00360F82">
      <w:pPr>
        <w:spacing w:line="312" w:lineRule="auto"/>
        <w:ind w:firstLine="420" w:firstLineChars="200"/>
        <w:rPr>
          <w:rFonts w:hint="eastAsia" w:ascii="宋体" w:hAnsi="宋体"/>
          <w:szCs w:val="21"/>
          <w:lang w:val="en-GB"/>
        </w:rPr>
      </w:pPr>
      <w:r>
        <w:rPr>
          <w:rFonts w:hint="eastAsia" w:ascii="宋体" w:hAnsi="宋体"/>
          <w:szCs w:val="21"/>
        </w:rPr>
        <w:t>2、</w:t>
      </w:r>
      <w:r>
        <w:rPr>
          <w:rFonts w:hint="eastAsia" w:ascii="宋体" w:hAnsi="宋体"/>
          <w:szCs w:val="21"/>
          <w:lang w:val="en-GB"/>
        </w:rPr>
        <w:t>中标人不得随意更换服务人员，如确需更换，相关的调配人员须经采购人批准；</w:t>
      </w:r>
    </w:p>
    <w:p w14:paraId="538254F0">
      <w:pPr>
        <w:spacing w:line="312" w:lineRule="auto"/>
        <w:ind w:firstLine="420" w:firstLineChars="200"/>
        <w:rPr>
          <w:rFonts w:hint="eastAsia" w:ascii="宋体" w:hAnsi="宋体"/>
          <w:szCs w:val="21"/>
          <w:lang w:val="en-GB"/>
        </w:rPr>
      </w:pPr>
      <w:r>
        <w:rPr>
          <w:rFonts w:hint="eastAsia" w:ascii="宋体" w:hAnsi="宋体"/>
          <w:szCs w:val="21"/>
        </w:rPr>
        <w:t>3、</w:t>
      </w:r>
      <w:r>
        <w:rPr>
          <w:rFonts w:hint="eastAsia" w:ascii="宋体" w:hAnsi="宋体"/>
          <w:szCs w:val="21"/>
          <w:lang w:val="en-GB"/>
        </w:rPr>
        <w:t>采购人有权以书面形式要求中标人更换不能按规定履行合同的人员。</w:t>
      </w:r>
    </w:p>
    <w:p w14:paraId="47A4DC1E">
      <w:pPr>
        <w:spacing w:line="312" w:lineRule="auto"/>
        <w:ind w:firstLine="420" w:firstLineChars="200"/>
        <w:rPr>
          <w:rFonts w:hint="eastAsia" w:ascii="宋体" w:hAnsi="宋体"/>
          <w:szCs w:val="21"/>
          <w:lang w:val="en-GB"/>
        </w:rPr>
      </w:pPr>
      <w:r>
        <w:rPr>
          <w:rFonts w:hint="eastAsia" w:ascii="宋体" w:hAnsi="宋体"/>
          <w:szCs w:val="21"/>
        </w:rPr>
        <w:t>4、</w:t>
      </w:r>
      <w:r>
        <w:rPr>
          <w:rFonts w:hint="eastAsia" w:ascii="宋体" w:hAnsi="宋体"/>
          <w:szCs w:val="21"/>
          <w:lang w:val="en-GB"/>
        </w:rPr>
        <w:t>获得采购人要求或同意更换的人员，其代替人员的资质仍应得到采购人的认可，且其资历和经验均不低于被更换人员。由此而产生的一切费用由中标人承担。</w:t>
      </w:r>
    </w:p>
    <w:p w14:paraId="48732DC8">
      <w:pPr>
        <w:spacing w:line="360" w:lineRule="auto"/>
        <w:ind w:firstLine="420" w:firstLineChars="200"/>
        <w:rPr>
          <w:rFonts w:hint="eastAsia" w:ascii="宋体" w:hAnsi="宋体" w:cs="宋体"/>
          <w:b/>
          <w:bCs/>
          <w:color w:val="000000"/>
          <w:szCs w:val="21"/>
        </w:rPr>
      </w:pPr>
      <w:r>
        <w:rPr>
          <w:rFonts w:hint="eastAsia" w:ascii="宋体" w:hAnsi="宋体"/>
          <w:szCs w:val="21"/>
        </w:rPr>
        <w:t>5、</w:t>
      </w:r>
      <w:r>
        <w:rPr>
          <w:rFonts w:hint="eastAsia" w:ascii="宋体" w:hAnsi="宋体"/>
          <w:szCs w:val="21"/>
          <w:lang w:val="en-GB"/>
        </w:rPr>
        <w:t>对于中标人委派的项目服务人员因工作原因在服务期间引起的各种工伤、安全事件、事故，以及与本项目相关工作人员发生的一切劳务纠纷，由中标人负责，采购人免负一切责任。</w:t>
      </w:r>
    </w:p>
    <w:p w14:paraId="579B6125">
      <w:pPr>
        <w:spacing w:line="360" w:lineRule="auto"/>
        <w:rPr>
          <w:rFonts w:hint="eastAsia" w:ascii="宋体" w:hAnsi="宋体" w:cs="宋体"/>
          <w:b/>
          <w:bCs/>
          <w:color w:val="000000"/>
          <w:szCs w:val="21"/>
        </w:rPr>
      </w:pPr>
      <w:bookmarkStart w:id="0" w:name="_Toc249246747"/>
      <w:bookmarkStart w:id="1" w:name="_Toc275425151"/>
      <w:bookmarkStart w:id="2" w:name="_Toc283631368"/>
      <w:bookmarkStart w:id="3" w:name="_Toc287534450"/>
      <w:bookmarkStart w:id="4" w:name="_Toc279066866"/>
      <w:bookmarkStart w:id="5" w:name="_Toc216508724"/>
      <w:r>
        <w:rPr>
          <w:rFonts w:hint="eastAsia" w:ascii="宋体" w:hAnsi="宋体" w:cs="宋体"/>
          <w:b/>
          <w:bCs/>
          <w:color w:val="000000"/>
          <w:szCs w:val="21"/>
        </w:rPr>
        <w:t>六、</w:t>
      </w:r>
      <w:bookmarkEnd w:id="0"/>
      <w:bookmarkEnd w:id="1"/>
      <w:bookmarkEnd w:id="2"/>
      <w:bookmarkEnd w:id="3"/>
      <w:bookmarkEnd w:id="4"/>
      <w:bookmarkEnd w:id="5"/>
      <w:r>
        <w:t>★</w:t>
      </w:r>
      <w:r>
        <w:rPr>
          <w:rFonts w:hint="eastAsia" w:ascii="宋体" w:hAnsi="宋体" w:cs="宋体"/>
          <w:b/>
          <w:bCs/>
          <w:color w:val="000000"/>
          <w:szCs w:val="21"/>
        </w:rPr>
        <w:t>保密要求</w:t>
      </w:r>
    </w:p>
    <w:p w14:paraId="2F5E1D74">
      <w:pPr>
        <w:spacing w:line="360" w:lineRule="auto"/>
        <w:ind w:firstLine="420" w:firstLineChars="200"/>
        <w:rPr>
          <w:rFonts w:hint="eastAsia" w:ascii="宋体" w:hAnsi="宋体" w:cs="宋体"/>
          <w:szCs w:val="21"/>
        </w:rPr>
      </w:pPr>
      <w:r>
        <w:rPr>
          <w:rFonts w:hint="eastAsia" w:ascii="宋体" w:hAnsi="宋体" w:cs="宋体"/>
          <w:szCs w:val="21"/>
        </w:rPr>
        <w:t>1、中标人应承担保密义务，不得以任何形式向第三方提供或泄露采购人的工作机密，包括采购人的日常运作、工作情况、系统软件及采购人所提供的所有相关资料、数据等。</w:t>
      </w:r>
    </w:p>
    <w:p w14:paraId="54AF8759">
      <w:pPr>
        <w:spacing w:line="360" w:lineRule="auto"/>
        <w:ind w:firstLine="420" w:firstLineChars="200"/>
        <w:rPr>
          <w:rFonts w:hint="eastAsia" w:ascii="宋体" w:hAnsi="宋体" w:cs="宋体"/>
          <w:szCs w:val="21"/>
        </w:rPr>
      </w:pPr>
      <w:r>
        <w:rPr>
          <w:rFonts w:hint="eastAsia" w:ascii="宋体" w:hAnsi="宋体" w:cs="宋体"/>
          <w:szCs w:val="21"/>
        </w:rPr>
        <w:t>2、中标人须把采购人提供的所有资料，数据完整归还采购人，并不得留存任何复制品。因中标人泄密而损害采购人的利益，除一切后果与法律责任由中标人承担，采购人有权单方面即时解除合同，并视为中标人违约，有权要求中标人赔偿经济损失。</w:t>
      </w:r>
    </w:p>
    <w:p w14:paraId="7C702EF6">
      <w:pPr>
        <w:spacing w:line="360" w:lineRule="auto"/>
        <w:ind w:firstLine="420" w:firstLineChars="200"/>
        <w:rPr>
          <w:rFonts w:hint="eastAsia" w:ascii="宋体" w:hAnsi="宋体" w:cs="宋体"/>
          <w:szCs w:val="21"/>
        </w:rPr>
      </w:pPr>
      <w:r>
        <w:rPr>
          <w:rFonts w:hint="eastAsia" w:ascii="宋体" w:hAnsi="宋体" w:cs="宋体"/>
          <w:szCs w:val="21"/>
        </w:rPr>
        <w:t>3、中标人保密责任不因合同的解除而失效。</w:t>
      </w:r>
    </w:p>
    <w:p w14:paraId="30259EFA">
      <w:pPr>
        <w:pStyle w:val="2"/>
        <w:spacing w:line="360" w:lineRule="auto"/>
        <w:ind w:firstLine="0"/>
        <w:rPr>
          <w:rFonts w:hint="eastAsia" w:ascii="宋体" w:hAnsi="宋体"/>
          <w:szCs w:val="21"/>
          <w:lang w:val="en-GB"/>
        </w:rPr>
      </w:pPr>
      <w:r>
        <w:rPr>
          <w:rFonts w:hint="eastAsia"/>
          <w:b/>
          <w:bCs/>
        </w:rPr>
        <w:t>七、</w:t>
      </w:r>
      <w:r>
        <w:t>★</w:t>
      </w:r>
      <w:r>
        <w:rPr>
          <w:rFonts w:hint="eastAsia" w:ascii="宋体" w:hAnsi="宋体"/>
          <w:b/>
          <w:bCs/>
          <w:szCs w:val="21"/>
          <w:lang w:val="en-GB"/>
        </w:rPr>
        <w:t>知识产权</w:t>
      </w:r>
    </w:p>
    <w:p w14:paraId="7A34185A">
      <w:pPr>
        <w:spacing w:line="360" w:lineRule="auto"/>
        <w:rPr>
          <w:rFonts w:hint="eastAsia" w:ascii="宋体" w:hAnsi="宋体" w:cs="宋体"/>
          <w:szCs w:val="21"/>
        </w:rPr>
      </w:pPr>
      <w:r>
        <w:rPr>
          <w:rFonts w:hint="eastAsia" w:ascii="宋体" w:hAnsi="宋体"/>
          <w:szCs w:val="21"/>
        </w:rPr>
        <w:t xml:space="preserve">  </w:t>
      </w:r>
      <w:r>
        <w:rPr>
          <w:rFonts w:hint="eastAsia" w:ascii="宋体" w:hAnsi="宋体" w:cs="宋体"/>
          <w:szCs w:val="21"/>
        </w:rPr>
        <w:t>中标人须保证采购人不会产生因第三方提出知识产权和著作权而引起的法律或经济纠纷。否则，中标人须承担相应的法律责任。</w:t>
      </w:r>
    </w:p>
    <w:p w14:paraId="2AD5342E">
      <w:pPr>
        <w:pStyle w:val="2"/>
        <w:spacing w:line="360" w:lineRule="auto"/>
        <w:ind w:firstLine="0"/>
        <w:rPr>
          <w:rFonts w:hint="eastAsia" w:ascii="宋体" w:hAnsi="宋体" w:cs="宋体"/>
          <w:color w:val="000000"/>
        </w:rPr>
      </w:pPr>
      <w:r>
        <w:rPr>
          <w:rFonts w:hint="eastAsia" w:ascii="宋体" w:hAnsi="宋体"/>
          <w:b/>
          <w:bCs/>
          <w:szCs w:val="21"/>
        </w:rPr>
        <w:t>八、</w:t>
      </w:r>
      <w:r>
        <w:rPr>
          <w:rFonts w:hint="eastAsia" w:ascii="宋体" w:hAnsi="宋体"/>
          <w:b/>
          <w:bCs/>
          <w:szCs w:val="21"/>
          <w:lang w:val="en-GB"/>
        </w:rPr>
        <w:t>其他要求</w:t>
      </w:r>
    </w:p>
    <w:p w14:paraId="298F04D9">
      <w:pPr>
        <w:pStyle w:val="2"/>
        <w:spacing w:line="360" w:lineRule="auto"/>
        <w:rPr>
          <w:rFonts w:hint="eastAsia"/>
        </w:rPr>
      </w:pPr>
      <w:r>
        <w:rPr>
          <w:rFonts w:hint="eastAsia"/>
        </w:rPr>
        <w:t>服务期内，如发现中标人有以下违约行为之一，采购人有权单方面解除合同，并按相关法律法规的规定追究其相应责任：</w:t>
      </w:r>
    </w:p>
    <w:p w14:paraId="20FE9E7B">
      <w:pPr>
        <w:pStyle w:val="2"/>
        <w:spacing w:line="360" w:lineRule="auto"/>
        <w:rPr>
          <w:rFonts w:hint="eastAsia"/>
        </w:rPr>
      </w:pPr>
      <w:r>
        <w:rPr>
          <w:rFonts w:hint="eastAsia"/>
        </w:rPr>
        <w:t>1、没有遵守投标承诺，被采购人的实际使用单位或师生就其服务进行投诉，经查实超过两次的；</w:t>
      </w:r>
    </w:p>
    <w:p w14:paraId="6462BAD6">
      <w:pPr>
        <w:pStyle w:val="2"/>
        <w:spacing w:line="360" w:lineRule="auto"/>
        <w:rPr>
          <w:rFonts w:hint="eastAsia"/>
        </w:rPr>
      </w:pPr>
      <w:r>
        <w:rPr>
          <w:rFonts w:hint="eastAsia"/>
        </w:rPr>
        <w:t>2、拒绝接受采购人及相关部门监督、检查的；</w:t>
      </w:r>
    </w:p>
    <w:p w14:paraId="22C91AD5">
      <w:pPr>
        <w:pStyle w:val="2"/>
        <w:spacing w:line="360" w:lineRule="auto"/>
        <w:rPr>
          <w:rFonts w:hint="eastAsia"/>
        </w:rPr>
      </w:pPr>
      <w:r>
        <w:rPr>
          <w:rFonts w:hint="eastAsia"/>
        </w:rPr>
        <w:t>3、出现信用危机、财务危机、生产经营危机甚至破产、倒闭，无法履行协议的。</w:t>
      </w:r>
    </w:p>
    <w:p w14:paraId="0B6F527F">
      <w:pPr>
        <w:pStyle w:val="2"/>
        <w:spacing w:line="360" w:lineRule="auto"/>
        <w:ind w:firstLine="0"/>
        <w:rPr>
          <w:rFonts w:hint="eastAsia" w:ascii="宋体" w:hAnsi="宋体"/>
          <w:szCs w:val="21"/>
        </w:rPr>
      </w:pPr>
      <w:r>
        <w:rPr>
          <w:rFonts w:hint="eastAsia" w:ascii="宋体" w:hAnsi="宋体"/>
          <w:b/>
          <w:bCs/>
          <w:szCs w:val="21"/>
        </w:rPr>
        <w:t>九、服务内容</w:t>
      </w:r>
      <w:r>
        <w:rPr>
          <w:rFonts w:hint="eastAsia" w:ascii="宋体" w:hAnsi="宋体"/>
          <w:szCs w:val="21"/>
        </w:rPr>
        <w:t>：中标人在项目实施前，应充分了解采购人的基础设施、网络完全等现状情况，结合自身过往实施经验以及相关质量管理、环境管理、信息安全等体系标准，按照采购人要求提供专业服务，具体服务内容及要求如下：</w:t>
      </w:r>
    </w:p>
    <w:p w14:paraId="6034E719">
      <w:pPr>
        <w:spacing w:line="360" w:lineRule="auto"/>
        <w:ind w:firstLine="420" w:firstLineChars="200"/>
        <w:rPr>
          <w:rFonts w:hint="eastAsia" w:ascii="宋体" w:hAnsi="宋体"/>
          <w:szCs w:val="21"/>
        </w:rPr>
      </w:pPr>
      <w:r>
        <w:rPr>
          <w:rFonts w:hint="eastAsia" w:ascii="宋体" w:hAnsi="宋体"/>
          <w:szCs w:val="21"/>
        </w:rPr>
        <w:t>1、安全驻场服务</w:t>
      </w:r>
    </w:p>
    <w:p w14:paraId="52142F7E">
      <w:pPr>
        <w:pStyle w:val="2"/>
        <w:spacing w:line="360" w:lineRule="auto"/>
      </w:pPr>
      <w:r>
        <w:t>对学校各业务模块面临的网络安全风险进行持续管控，降低安全风险；分析网络现状。对网络系统进行</w:t>
      </w:r>
      <w:r>
        <w:rPr>
          <w:rFonts w:hint="eastAsia"/>
        </w:rPr>
        <w:t>渗透测试、</w:t>
      </w:r>
      <w:r>
        <w:t>安全评估和安全加固；在出现网络攻击或安全事件时，帮助恢复系统及调查取证；针对</w:t>
      </w:r>
      <w:r>
        <w:rPr>
          <w:rFonts w:hint="eastAsia"/>
        </w:rPr>
        <w:t>佛山大学</w:t>
      </w:r>
      <w:r>
        <w:t>网络架构，建议合理的网络安全解决方案。</w:t>
      </w:r>
    </w:p>
    <w:p w14:paraId="17A8A678">
      <w:pPr>
        <w:tabs>
          <w:tab w:val="left" w:pos="510"/>
          <w:tab w:val="left" w:pos="540"/>
        </w:tabs>
        <w:adjustRightInd w:val="0"/>
        <w:spacing w:line="360" w:lineRule="auto"/>
        <w:ind w:left="426" w:leftChars="203"/>
        <w:rPr>
          <w:rFonts w:hint="eastAsia" w:ascii="宋体" w:hAnsi="宋体"/>
        </w:rPr>
      </w:pPr>
      <w:r>
        <w:rPr>
          <w:rFonts w:hint="eastAsia" w:ascii="宋体" w:hAnsi="宋体"/>
          <w:sz w:val="24"/>
          <w:szCs w:val="22"/>
        </w:rPr>
        <w:t>1.1</w:t>
      </w:r>
      <w:r>
        <w:rPr>
          <w:rFonts w:hint="eastAsia" w:ascii="宋体" w:hAnsi="宋体"/>
        </w:rPr>
        <w:t>驻场人员的安全加固服务</w:t>
      </w:r>
    </w:p>
    <w:p w14:paraId="0614F8B5">
      <w:pPr>
        <w:tabs>
          <w:tab w:val="left" w:pos="510"/>
          <w:tab w:val="left" w:pos="540"/>
          <w:tab w:val="left" w:pos="993"/>
        </w:tabs>
        <w:adjustRightInd w:val="0"/>
        <w:spacing w:line="360" w:lineRule="auto"/>
        <w:ind w:left="426" w:leftChars="203"/>
        <w:rPr>
          <w:rFonts w:hint="eastAsia" w:ascii="宋体" w:hAnsi="宋体"/>
        </w:rPr>
      </w:pPr>
      <w:r>
        <w:rPr>
          <w:rFonts w:hint="eastAsia" w:ascii="宋体" w:hAnsi="宋体"/>
          <w:sz w:val="24"/>
        </w:rPr>
        <w:t>1.1.1</w:t>
      </w:r>
      <w:r>
        <w:rPr>
          <w:rFonts w:hint="eastAsia" w:ascii="宋体" w:hAnsi="宋体"/>
        </w:rPr>
        <w:t>漏洞的检查</w:t>
      </w:r>
    </w:p>
    <w:p w14:paraId="7F54D040">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全面发现网站与信息系统存在的安全漏洞、安全配置问题、应用系统安全漏洞，检查系统存在的弱口令，收集系统不必要开放的账号、服务、端口，形成整体安全风险报告。</w:t>
      </w:r>
    </w:p>
    <w:p w14:paraId="133D5C54">
      <w:pPr>
        <w:tabs>
          <w:tab w:val="left" w:pos="510"/>
          <w:tab w:val="left" w:pos="540"/>
        </w:tabs>
        <w:adjustRightInd w:val="0"/>
        <w:spacing w:line="360" w:lineRule="auto"/>
        <w:jc w:val="center"/>
        <w:rPr>
          <w:rFonts w:hint="eastAsia"/>
        </w:rPr>
      </w:pPr>
      <w:r>
        <w:rPr>
          <w:rFonts w:hint="eastAsia"/>
        </w:rPr>
        <w:t>表1 检查服务内容表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728"/>
        <w:gridCol w:w="5453"/>
      </w:tblGrid>
      <w:tr w14:paraId="4584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2613" w:type="dxa"/>
            <w:noWrap w:val="0"/>
            <w:vAlign w:val="center"/>
          </w:tcPr>
          <w:p w14:paraId="3015A6D1">
            <w:pPr>
              <w:jc w:val="center"/>
              <w:rPr>
                <w:rFonts w:ascii="宋体" w:hAnsi="宋体"/>
                <w:b/>
                <w:bCs/>
                <w:kern w:val="0"/>
              </w:rPr>
            </w:pPr>
            <w:r>
              <w:rPr>
                <w:rFonts w:ascii="宋体" w:hAnsi="宋体"/>
                <w:b/>
                <w:bCs/>
                <w:kern w:val="0"/>
              </w:rPr>
              <w:t>服务名称</w:t>
            </w:r>
          </w:p>
        </w:tc>
        <w:tc>
          <w:tcPr>
            <w:tcW w:w="813" w:type="dxa"/>
            <w:noWrap w:val="0"/>
            <w:vAlign w:val="center"/>
          </w:tcPr>
          <w:p w14:paraId="49ABACC6">
            <w:pPr>
              <w:jc w:val="center"/>
              <w:rPr>
                <w:rFonts w:ascii="宋体" w:hAnsi="宋体"/>
                <w:b/>
                <w:bCs/>
                <w:kern w:val="0"/>
              </w:rPr>
            </w:pPr>
            <w:r>
              <w:rPr>
                <w:rFonts w:ascii="宋体" w:hAnsi="宋体"/>
                <w:b/>
                <w:bCs/>
                <w:kern w:val="0"/>
              </w:rPr>
              <w:t>时间</w:t>
            </w:r>
          </w:p>
        </w:tc>
        <w:tc>
          <w:tcPr>
            <w:tcW w:w="6088" w:type="dxa"/>
            <w:noWrap w:val="0"/>
            <w:vAlign w:val="center"/>
          </w:tcPr>
          <w:p w14:paraId="42D0704F">
            <w:pPr>
              <w:jc w:val="center"/>
              <w:rPr>
                <w:rFonts w:ascii="宋体" w:hAnsi="宋体"/>
                <w:b/>
                <w:bCs/>
                <w:kern w:val="0"/>
              </w:rPr>
            </w:pPr>
            <w:r>
              <w:rPr>
                <w:rFonts w:ascii="宋体" w:hAnsi="宋体"/>
                <w:b/>
                <w:bCs/>
                <w:kern w:val="0"/>
              </w:rPr>
              <w:t>服务内容</w:t>
            </w:r>
          </w:p>
        </w:tc>
      </w:tr>
      <w:tr w14:paraId="7326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3" w:type="dxa"/>
            <w:noWrap w:val="0"/>
            <w:vAlign w:val="center"/>
          </w:tcPr>
          <w:p w14:paraId="521BF871">
            <w:pPr>
              <w:rPr>
                <w:rFonts w:ascii="宋体" w:hAnsi="宋体" w:cs="仿宋_GB2312"/>
                <w:kern w:val="0"/>
                <w:lang w:val="zh-CN"/>
              </w:rPr>
            </w:pPr>
            <w:r>
              <w:rPr>
                <w:rFonts w:hint="eastAsia" w:ascii="宋体" w:hAnsi="宋体" w:cs="仿宋_GB2312"/>
                <w:kern w:val="0"/>
                <w:lang w:val="zh-CN"/>
              </w:rPr>
              <w:t>漏洞检查</w:t>
            </w:r>
          </w:p>
        </w:tc>
        <w:tc>
          <w:tcPr>
            <w:tcW w:w="813" w:type="dxa"/>
            <w:noWrap w:val="0"/>
            <w:vAlign w:val="center"/>
          </w:tcPr>
          <w:p w14:paraId="1D0E6517">
            <w:pPr>
              <w:rPr>
                <w:rFonts w:ascii="宋体" w:hAnsi="宋体" w:cs="仿宋_GB2312"/>
                <w:kern w:val="0"/>
                <w:lang w:val="zh-CN"/>
              </w:rPr>
            </w:pPr>
            <w:r>
              <w:rPr>
                <w:rFonts w:hint="eastAsia" w:ascii="宋体" w:hAnsi="宋体" w:cs="仿宋_GB2312"/>
                <w:kern w:val="0"/>
                <w:lang w:val="zh-CN"/>
              </w:rPr>
              <w:t>日常</w:t>
            </w:r>
          </w:p>
        </w:tc>
        <w:tc>
          <w:tcPr>
            <w:tcW w:w="6088" w:type="dxa"/>
            <w:noWrap w:val="0"/>
            <w:vAlign w:val="center"/>
          </w:tcPr>
          <w:p w14:paraId="39217216">
            <w:pPr>
              <w:rPr>
                <w:rFonts w:ascii="宋体" w:hAnsi="宋体" w:cs="仿宋_GB2312"/>
                <w:kern w:val="0"/>
                <w:lang w:val="zh-CN"/>
              </w:rPr>
            </w:pPr>
            <w:r>
              <w:rPr>
                <w:rFonts w:hint="eastAsia" w:ascii="宋体" w:hAnsi="宋体" w:cs="仿宋_GB2312"/>
                <w:kern w:val="0"/>
                <w:lang w:val="zh-CN"/>
              </w:rPr>
              <w:t>通过手工，或工具的方式对随时出现的漏洞做安全加固（Patch）或修补</w:t>
            </w:r>
          </w:p>
        </w:tc>
      </w:tr>
      <w:tr w14:paraId="6EBB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2613" w:type="dxa"/>
            <w:noWrap w:val="0"/>
            <w:vAlign w:val="center"/>
          </w:tcPr>
          <w:p w14:paraId="5E73E470">
            <w:pPr>
              <w:rPr>
                <w:rFonts w:ascii="宋体" w:hAnsi="宋体" w:cs="仿宋_GB2312"/>
                <w:kern w:val="0"/>
                <w:lang w:val="zh-CN"/>
              </w:rPr>
            </w:pPr>
            <w:r>
              <w:rPr>
                <w:rFonts w:hint="eastAsia" w:ascii="宋体" w:hAnsi="宋体" w:cs="仿宋_GB2312"/>
                <w:kern w:val="0"/>
                <w:lang w:val="zh-CN"/>
              </w:rPr>
              <w:t>PORT检查</w:t>
            </w:r>
          </w:p>
        </w:tc>
        <w:tc>
          <w:tcPr>
            <w:tcW w:w="813" w:type="dxa"/>
            <w:noWrap w:val="0"/>
            <w:vAlign w:val="center"/>
          </w:tcPr>
          <w:p w14:paraId="7A2AA892">
            <w:pPr>
              <w:rPr>
                <w:rFonts w:ascii="宋体" w:hAnsi="宋体" w:cs="仿宋_GB2312"/>
                <w:kern w:val="0"/>
                <w:lang w:val="zh-CN"/>
              </w:rPr>
            </w:pPr>
            <w:r>
              <w:rPr>
                <w:rFonts w:hint="eastAsia" w:ascii="宋体" w:hAnsi="宋体" w:cs="仿宋_GB2312"/>
                <w:kern w:val="0"/>
                <w:lang w:val="zh-CN"/>
              </w:rPr>
              <w:t>日常</w:t>
            </w:r>
          </w:p>
        </w:tc>
        <w:tc>
          <w:tcPr>
            <w:tcW w:w="6088" w:type="dxa"/>
            <w:noWrap w:val="0"/>
            <w:vAlign w:val="center"/>
          </w:tcPr>
          <w:p w14:paraId="5871B900">
            <w:pPr>
              <w:rPr>
                <w:rFonts w:ascii="宋体" w:hAnsi="宋体" w:cs="仿宋_GB2312"/>
                <w:kern w:val="0"/>
                <w:lang w:val="zh-CN"/>
              </w:rPr>
            </w:pPr>
            <w:r>
              <w:rPr>
                <w:rFonts w:hint="eastAsia" w:ascii="宋体" w:hAnsi="宋体" w:cs="仿宋_GB2312"/>
                <w:kern w:val="0"/>
                <w:lang w:val="zh-CN"/>
              </w:rPr>
              <w:t>PORT是计算机和外部网络相连的逻辑接口，端口配置正确与否直接影响到主机的安全，一般来说，仅打开你需要使用的端口会比较安全</w:t>
            </w:r>
          </w:p>
        </w:tc>
      </w:tr>
      <w:tr w14:paraId="78CB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13" w:type="dxa"/>
            <w:noWrap w:val="0"/>
            <w:vAlign w:val="center"/>
          </w:tcPr>
          <w:p w14:paraId="2655329F">
            <w:pPr>
              <w:rPr>
                <w:rFonts w:ascii="宋体" w:hAnsi="宋体" w:cs="仿宋_GB2312"/>
                <w:kern w:val="0"/>
                <w:lang w:val="zh-CN"/>
              </w:rPr>
            </w:pPr>
            <w:r>
              <w:rPr>
                <w:rFonts w:hint="eastAsia" w:ascii="宋体" w:hAnsi="宋体" w:cs="仿宋_GB2312"/>
                <w:kern w:val="0"/>
                <w:lang w:val="zh-CN"/>
              </w:rPr>
              <w:t>进程检查</w:t>
            </w:r>
          </w:p>
        </w:tc>
        <w:tc>
          <w:tcPr>
            <w:tcW w:w="813" w:type="dxa"/>
            <w:noWrap w:val="0"/>
            <w:vAlign w:val="center"/>
          </w:tcPr>
          <w:p w14:paraId="0A43C477">
            <w:pPr>
              <w:rPr>
                <w:rFonts w:ascii="宋体" w:hAnsi="宋体" w:cs="仿宋_GB2312"/>
                <w:kern w:val="0"/>
                <w:lang w:val="zh-CN"/>
              </w:rPr>
            </w:pPr>
            <w:r>
              <w:rPr>
                <w:rFonts w:hint="eastAsia" w:ascii="宋体" w:hAnsi="宋体" w:cs="仿宋_GB2312"/>
                <w:kern w:val="0"/>
                <w:lang w:val="zh-CN"/>
              </w:rPr>
              <w:t>日常</w:t>
            </w:r>
          </w:p>
        </w:tc>
        <w:tc>
          <w:tcPr>
            <w:tcW w:w="6088" w:type="dxa"/>
            <w:noWrap w:val="0"/>
            <w:vAlign w:val="center"/>
          </w:tcPr>
          <w:p w14:paraId="25550930">
            <w:pPr>
              <w:rPr>
                <w:rFonts w:ascii="宋体" w:hAnsi="宋体" w:cs="仿宋_GB2312"/>
                <w:kern w:val="0"/>
                <w:lang w:val="zh-CN"/>
              </w:rPr>
            </w:pPr>
            <w:r>
              <w:rPr>
                <w:rFonts w:hint="eastAsia" w:ascii="宋体" w:hAnsi="宋体" w:cs="仿宋_GB2312"/>
                <w:kern w:val="0"/>
                <w:lang w:val="zh-CN"/>
              </w:rPr>
              <w:t>按照正常进程列表，查出那些进程是异常进程</w:t>
            </w:r>
          </w:p>
        </w:tc>
      </w:tr>
      <w:tr w14:paraId="548F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613" w:type="dxa"/>
            <w:noWrap w:val="0"/>
            <w:vAlign w:val="center"/>
          </w:tcPr>
          <w:p w14:paraId="4FDD846E">
            <w:pPr>
              <w:rPr>
                <w:rFonts w:ascii="宋体" w:hAnsi="宋体" w:cs="仿宋_GB2312"/>
                <w:kern w:val="0"/>
                <w:lang w:val="zh-CN"/>
              </w:rPr>
            </w:pPr>
            <w:r>
              <w:rPr>
                <w:rFonts w:hint="eastAsia" w:ascii="宋体" w:hAnsi="宋体" w:cs="仿宋_GB2312"/>
                <w:kern w:val="0"/>
                <w:lang w:val="zh-CN"/>
              </w:rPr>
              <w:t>系统安全设置检查</w:t>
            </w:r>
          </w:p>
        </w:tc>
        <w:tc>
          <w:tcPr>
            <w:tcW w:w="813" w:type="dxa"/>
            <w:noWrap w:val="0"/>
            <w:vAlign w:val="center"/>
          </w:tcPr>
          <w:p w14:paraId="39A476AE">
            <w:pPr>
              <w:jc w:val="left"/>
              <w:rPr>
                <w:rFonts w:ascii="宋体" w:hAnsi="宋体" w:cs="仿宋_GB2312"/>
                <w:kern w:val="0"/>
                <w:lang w:val="zh-CN"/>
              </w:rPr>
            </w:pPr>
            <w:r>
              <w:rPr>
                <w:rFonts w:hint="eastAsia" w:ascii="宋体" w:hAnsi="宋体" w:cs="仿宋_GB2312"/>
                <w:kern w:val="0"/>
                <w:lang w:val="zh-CN"/>
              </w:rPr>
              <w:t>安全配置</w:t>
            </w:r>
          </w:p>
        </w:tc>
        <w:tc>
          <w:tcPr>
            <w:tcW w:w="6088" w:type="dxa"/>
            <w:noWrap w:val="0"/>
            <w:vAlign w:val="center"/>
          </w:tcPr>
          <w:p w14:paraId="41FF31E3">
            <w:pPr>
              <w:rPr>
                <w:rFonts w:ascii="宋体" w:hAnsi="宋体" w:cs="仿宋_GB2312"/>
                <w:kern w:val="0"/>
                <w:lang w:val="zh-CN"/>
              </w:rPr>
            </w:pPr>
            <w:r>
              <w:rPr>
                <w:rFonts w:hint="eastAsia" w:ascii="宋体" w:hAnsi="宋体" w:cs="仿宋_GB2312"/>
                <w:kern w:val="0"/>
                <w:lang w:val="zh-CN"/>
              </w:rPr>
              <w:t>LINUX自带了一些安全设置，比如口令最小长度和最短使用时间</w:t>
            </w:r>
          </w:p>
          <w:p w14:paraId="2A6374A3">
            <w:pPr>
              <w:rPr>
                <w:rFonts w:ascii="宋体" w:hAnsi="宋体" w:cs="仿宋_GB2312"/>
                <w:kern w:val="0"/>
                <w:lang w:val="zh-CN"/>
              </w:rPr>
            </w:pPr>
            <w:r>
              <w:rPr>
                <w:rFonts w:hint="eastAsia" w:ascii="宋体" w:hAnsi="宋体" w:cs="仿宋_GB2312"/>
                <w:kern w:val="0"/>
                <w:lang w:val="zh-CN"/>
              </w:rPr>
              <w:t>超时注销</w:t>
            </w:r>
          </w:p>
        </w:tc>
      </w:tr>
      <w:tr w14:paraId="6596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613" w:type="dxa"/>
            <w:noWrap w:val="0"/>
            <w:vAlign w:val="center"/>
          </w:tcPr>
          <w:p w14:paraId="4439F25F">
            <w:pPr>
              <w:rPr>
                <w:rFonts w:ascii="宋体" w:hAnsi="宋体" w:cs="仿宋_GB2312"/>
                <w:kern w:val="0"/>
                <w:lang w:val="zh-CN"/>
              </w:rPr>
            </w:pPr>
            <w:r>
              <w:rPr>
                <w:rFonts w:hint="eastAsia" w:ascii="宋体" w:hAnsi="宋体" w:cs="仿宋_GB2312"/>
                <w:kern w:val="0"/>
                <w:lang w:val="zh-CN"/>
              </w:rPr>
              <w:t>账号安全检查</w:t>
            </w:r>
          </w:p>
        </w:tc>
        <w:tc>
          <w:tcPr>
            <w:tcW w:w="813" w:type="dxa"/>
            <w:noWrap w:val="0"/>
            <w:vAlign w:val="center"/>
          </w:tcPr>
          <w:p w14:paraId="43D940ED">
            <w:pPr>
              <w:rPr>
                <w:rFonts w:ascii="宋体" w:hAnsi="宋体" w:cs="仿宋_GB2312"/>
                <w:kern w:val="0"/>
                <w:lang w:val="zh-CN"/>
              </w:rPr>
            </w:pPr>
            <w:r>
              <w:rPr>
                <w:rFonts w:hint="eastAsia" w:ascii="宋体" w:hAnsi="宋体" w:cs="仿宋_GB2312"/>
                <w:kern w:val="0"/>
                <w:lang w:val="zh-CN"/>
              </w:rPr>
              <w:t>日常</w:t>
            </w:r>
          </w:p>
        </w:tc>
        <w:tc>
          <w:tcPr>
            <w:tcW w:w="6088" w:type="dxa"/>
            <w:noWrap w:val="0"/>
            <w:vAlign w:val="center"/>
          </w:tcPr>
          <w:p w14:paraId="3B18F5AE">
            <w:pPr>
              <w:rPr>
                <w:rFonts w:ascii="宋体" w:hAnsi="宋体" w:cs="仿宋_GB2312"/>
                <w:kern w:val="0"/>
                <w:lang w:val="zh-CN"/>
              </w:rPr>
            </w:pPr>
            <w:r>
              <w:rPr>
                <w:rFonts w:hint="eastAsia" w:ascii="宋体" w:hAnsi="宋体" w:cs="仿宋_GB2312"/>
                <w:kern w:val="0"/>
                <w:lang w:val="zh-CN"/>
              </w:rPr>
              <w:t>账号是一个系统的“门户”，如果不把门户守卫好，黑客进入就更是易如反掌了。</w:t>
            </w:r>
          </w:p>
          <w:p w14:paraId="07C1F16D">
            <w:pPr>
              <w:rPr>
                <w:rFonts w:ascii="宋体" w:hAnsi="宋体" w:cs="仿宋_GB2312"/>
                <w:kern w:val="0"/>
                <w:lang w:val="zh-CN"/>
              </w:rPr>
            </w:pPr>
            <w:r>
              <w:rPr>
                <w:rFonts w:hint="eastAsia" w:ascii="宋体" w:hAnsi="宋体" w:cs="仿宋_GB2312"/>
                <w:kern w:val="0"/>
                <w:lang w:val="zh-CN"/>
              </w:rPr>
              <w:t>删除/etc/passwd&amp;/etc/shadow中的一些系统账号，如mail,news等</w:t>
            </w:r>
          </w:p>
        </w:tc>
      </w:tr>
      <w:tr w14:paraId="3208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613" w:type="dxa"/>
            <w:noWrap w:val="0"/>
            <w:vAlign w:val="center"/>
          </w:tcPr>
          <w:p w14:paraId="4C5CD438">
            <w:pPr>
              <w:rPr>
                <w:rFonts w:ascii="宋体" w:hAnsi="宋体" w:cs="仿宋_GB2312"/>
                <w:kern w:val="0"/>
                <w:lang w:val="zh-CN"/>
              </w:rPr>
            </w:pPr>
            <w:r>
              <w:rPr>
                <w:rFonts w:hint="eastAsia" w:ascii="宋体" w:hAnsi="宋体" w:cs="仿宋_GB2312"/>
                <w:kern w:val="0"/>
                <w:lang w:val="zh-CN"/>
              </w:rPr>
              <w:t>syslog日志检查</w:t>
            </w:r>
          </w:p>
        </w:tc>
        <w:tc>
          <w:tcPr>
            <w:tcW w:w="813" w:type="dxa"/>
            <w:noWrap w:val="0"/>
            <w:vAlign w:val="center"/>
          </w:tcPr>
          <w:p w14:paraId="151DA530">
            <w:pPr>
              <w:rPr>
                <w:rFonts w:ascii="宋体" w:hAnsi="宋体" w:cs="仿宋_GB2312"/>
                <w:kern w:val="0"/>
                <w:lang w:val="zh-CN"/>
              </w:rPr>
            </w:pPr>
            <w:r>
              <w:rPr>
                <w:rFonts w:hint="eastAsia" w:ascii="宋体" w:hAnsi="宋体" w:cs="仿宋_GB2312"/>
                <w:kern w:val="0"/>
                <w:lang w:val="zh-CN"/>
              </w:rPr>
              <w:t>日常</w:t>
            </w:r>
          </w:p>
        </w:tc>
        <w:tc>
          <w:tcPr>
            <w:tcW w:w="6088" w:type="dxa"/>
            <w:noWrap w:val="0"/>
            <w:vAlign w:val="center"/>
          </w:tcPr>
          <w:p w14:paraId="2F3B30AF">
            <w:pPr>
              <w:rPr>
                <w:rFonts w:ascii="宋体" w:hAnsi="宋体" w:cs="仿宋_GB2312"/>
                <w:kern w:val="0"/>
                <w:lang w:val="zh-CN"/>
              </w:rPr>
            </w:pPr>
            <w:r>
              <w:rPr>
                <w:rFonts w:hint="eastAsia" w:ascii="宋体" w:hAnsi="宋体" w:cs="仿宋_GB2312"/>
                <w:kern w:val="0"/>
                <w:lang w:val="zh-CN"/>
              </w:rPr>
              <w:t>日志是审核和记录的关键，是以后检查可能的攻击的记录，所以一定要打开日志记录，并且定期检查记录</w:t>
            </w:r>
          </w:p>
        </w:tc>
      </w:tr>
      <w:tr w14:paraId="12AF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613" w:type="dxa"/>
            <w:noWrap w:val="0"/>
            <w:vAlign w:val="center"/>
          </w:tcPr>
          <w:p w14:paraId="2113F5D8">
            <w:pPr>
              <w:rPr>
                <w:rFonts w:ascii="宋体" w:hAnsi="宋体" w:cs="仿宋_GB2312"/>
                <w:kern w:val="0"/>
                <w:lang w:val="zh-CN"/>
              </w:rPr>
            </w:pPr>
            <w:r>
              <w:rPr>
                <w:rFonts w:hint="eastAsia" w:ascii="宋体" w:hAnsi="宋体" w:cs="仿宋_GB2312"/>
                <w:kern w:val="0"/>
                <w:lang w:val="zh-CN"/>
              </w:rPr>
              <w:t>目录和文件权限检查</w:t>
            </w:r>
          </w:p>
        </w:tc>
        <w:tc>
          <w:tcPr>
            <w:tcW w:w="813" w:type="dxa"/>
            <w:noWrap w:val="0"/>
            <w:vAlign w:val="center"/>
          </w:tcPr>
          <w:p w14:paraId="586884D4">
            <w:pPr>
              <w:rPr>
                <w:rFonts w:ascii="宋体" w:hAnsi="宋体" w:cs="仿宋_GB2312"/>
                <w:kern w:val="0"/>
                <w:lang w:val="zh-CN"/>
              </w:rPr>
            </w:pPr>
            <w:r>
              <w:rPr>
                <w:rFonts w:hint="eastAsia" w:ascii="宋体" w:hAnsi="宋体" w:cs="仿宋_GB2312"/>
                <w:kern w:val="0"/>
                <w:lang w:val="zh-CN"/>
              </w:rPr>
              <w:t>日常</w:t>
            </w:r>
          </w:p>
        </w:tc>
        <w:tc>
          <w:tcPr>
            <w:tcW w:w="6088" w:type="dxa"/>
            <w:noWrap w:val="0"/>
            <w:vAlign w:val="center"/>
          </w:tcPr>
          <w:p w14:paraId="4470BCBC">
            <w:pPr>
              <w:rPr>
                <w:rFonts w:ascii="宋体" w:hAnsi="宋体" w:cs="仿宋_GB2312"/>
                <w:kern w:val="0"/>
              </w:rPr>
            </w:pPr>
            <w:r>
              <w:rPr>
                <w:rFonts w:hint="eastAsia" w:ascii="宋体" w:hAnsi="宋体" w:cs="仿宋_GB2312"/>
                <w:kern w:val="0"/>
                <w:lang w:val="zh-CN"/>
              </w:rPr>
              <w:t>LINUX下有强大和全面的文件/目录权限，定期检查和审核这些目录和重要文件是非常必要的。</w:t>
            </w:r>
          </w:p>
        </w:tc>
      </w:tr>
      <w:tr w14:paraId="2B07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613" w:type="dxa"/>
            <w:noWrap w:val="0"/>
            <w:vAlign w:val="center"/>
          </w:tcPr>
          <w:p w14:paraId="573C2488">
            <w:pPr>
              <w:rPr>
                <w:rFonts w:ascii="宋体" w:hAnsi="宋体" w:cs="仿宋_GB2312"/>
                <w:kern w:val="0"/>
                <w:lang w:val="zh-CN"/>
              </w:rPr>
            </w:pPr>
            <w:r>
              <w:rPr>
                <w:rFonts w:hint="eastAsia" w:ascii="宋体" w:hAnsi="宋体" w:cs="仿宋_GB2312"/>
                <w:kern w:val="0"/>
                <w:lang w:val="zh-CN"/>
              </w:rPr>
              <w:t>检查是否有必要的服务</w:t>
            </w:r>
          </w:p>
        </w:tc>
        <w:tc>
          <w:tcPr>
            <w:tcW w:w="813" w:type="dxa"/>
            <w:noWrap w:val="0"/>
            <w:vAlign w:val="center"/>
          </w:tcPr>
          <w:p w14:paraId="4E6E9B06">
            <w:pPr>
              <w:rPr>
                <w:rFonts w:ascii="宋体" w:hAnsi="宋体" w:cs="仿宋_GB2312"/>
                <w:kern w:val="0"/>
                <w:lang w:val="zh-CN"/>
              </w:rPr>
            </w:pPr>
            <w:r>
              <w:rPr>
                <w:rFonts w:hint="eastAsia" w:ascii="宋体" w:hAnsi="宋体" w:cs="仿宋_GB2312"/>
                <w:kern w:val="0"/>
                <w:lang w:val="zh-CN"/>
              </w:rPr>
              <w:t>日常</w:t>
            </w:r>
          </w:p>
        </w:tc>
        <w:tc>
          <w:tcPr>
            <w:tcW w:w="6088" w:type="dxa"/>
            <w:noWrap w:val="0"/>
            <w:vAlign w:val="center"/>
          </w:tcPr>
          <w:p w14:paraId="3505C50E">
            <w:pPr>
              <w:rPr>
                <w:rFonts w:ascii="宋体" w:hAnsi="宋体" w:cs="仿宋_GB2312"/>
                <w:kern w:val="0"/>
                <w:lang w:val="zh-CN"/>
              </w:rPr>
            </w:pPr>
            <w:r>
              <w:rPr>
                <w:rFonts w:hint="eastAsia" w:ascii="宋体" w:hAnsi="宋体" w:cs="仿宋_GB2312"/>
                <w:kern w:val="0"/>
                <w:lang w:val="zh-CN"/>
              </w:rPr>
              <w:t>服务越多产生的威胁就越多，关闭一些我们不常用的服务如finger、gopher</w:t>
            </w:r>
          </w:p>
        </w:tc>
      </w:tr>
      <w:tr w14:paraId="354C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613" w:type="dxa"/>
            <w:noWrap w:val="0"/>
            <w:vAlign w:val="center"/>
          </w:tcPr>
          <w:p w14:paraId="358C7246">
            <w:pPr>
              <w:rPr>
                <w:rFonts w:ascii="宋体" w:hAnsi="宋体" w:cs="仿宋_GB2312"/>
                <w:kern w:val="0"/>
                <w:lang w:val="zh-CN"/>
              </w:rPr>
            </w:pPr>
            <w:r>
              <w:rPr>
                <w:rFonts w:hint="eastAsia" w:ascii="宋体" w:hAnsi="宋体" w:cs="仿宋_GB2312"/>
                <w:kern w:val="0"/>
                <w:lang w:val="zh-CN"/>
              </w:rPr>
              <w:t>检查不必要的SUID程序</w:t>
            </w:r>
          </w:p>
        </w:tc>
        <w:tc>
          <w:tcPr>
            <w:tcW w:w="813" w:type="dxa"/>
            <w:noWrap w:val="0"/>
            <w:vAlign w:val="center"/>
          </w:tcPr>
          <w:p w14:paraId="3A3A8D28">
            <w:pPr>
              <w:rPr>
                <w:rFonts w:ascii="宋体" w:hAnsi="宋体" w:cs="仿宋_GB2312"/>
                <w:kern w:val="0"/>
                <w:lang w:val="zh-CN"/>
              </w:rPr>
            </w:pPr>
            <w:r>
              <w:rPr>
                <w:rFonts w:hint="eastAsia" w:ascii="宋体" w:hAnsi="宋体" w:cs="仿宋_GB2312"/>
                <w:kern w:val="0"/>
                <w:lang w:val="zh-CN"/>
              </w:rPr>
              <w:t>安全配置</w:t>
            </w:r>
          </w:p>
        </w:tc>
        <w:tc>
          <w:tcPr>
            <w:tcW w:w="6088" w:type="dxa"/>
            <w:noWrap w:val="0"/>
            <w:vAlign w:val="center"/>
          </w:tcPr>
          <w:p w14:paraId="4B901347">
            <w:pPr>
              <w:rPr>
                <w:rFonts w:ascii="宋体" w:hAnsi="宋体" w:cs="仿宋_GB2312"/>
                <w:kern w:val="0"/>
                <w:lang w:val="zh-CN"/>
              </w:rPr>
            </w:pPr>
            <w:r>
              <w:rPr>
                <w:rFonts w:hint="eastAsia" w:ascii="宋体" w:hAnsi="宋体" w:cs="仿宋_GB2312"/>
                <w:kern w:val="0"/>
                <w:lang w:val="zh-CN"/>
              </w:rPr>
              <w:t>SUID可以以root权限执行某个程序，因此应严格控制系统中的此类程序。</w:t>
            </w:r>
          </w:p>
        </w:tc>
      </w:tr>
    </w:tbl>
    <w:p w14:paraId="5E4EAE4D">
      <w:pPr>
        <w:tabs>
          <w:tab w:val="left" w:pos="510"/>
          <w:tab w:val="left" w:pos="540"/>
          <w:tab w:val="left" w:pos="993"/>
        </w:tabs>
        <w:adjustRightInd w:val="0"/>
        <w:spacing w:line="360" w:lineRule="auto"/>
        <w:ind w:left="420" w:leftChars="200"/>
        <w:rPr>
          <w:rFonts w:hint="eastAsia" w:ascii="宋体" w:hAnsi="宋体"/>
          <w:b/>
        </w:rPr>
      </w:pPr>
      <w:r>
        <w:rPr>
          <w:rFonts w:hint="eastAsia" w:ascii="宋体" w:hAnsi="宋体"/>
          <w:b/>
        </w:rPr>
        <w:t>1.1.2安全加固的服务范围</w:t>
      </w:r>
    </w:p>
    <w:p w14:paraId="4DAC0737">
      <w:pPr>
        <w:tabs>
          <w:tab w:val="left" w:pos="510"/>
          <w:tab w:val="left" w:pos="540"/>
        </w:tabs>
        <w:adjustRightInd w:val="0"/>
        <w:spacing w:line="360" w:lineRule="auto"/>
        <w:ind w:firstLine="420" w:firstLineChars="200"/>
        <w:rPr>
          <w:rFonts w:hint="eastAsia" w:ascii="宋体" w:hAnsi="宋体"/>
        </w:rPr>
      </w:pPr>
      <w:r>
        <w:rPr>
          <w:rFonts w:hint="eastAsia" w:ascii="宋体" w:hAnsi="宋体"/>
          <w:szCs w:val="28"/>
        </w:rPr>
        <w:t>范围包括各种网络设备、安全设备、主机操作系统、数据库、常见中间件及网络服务应用等。详细如下表所示：</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5234"/>
      </w:tblGrid>
      <w:tr w14:paraId="6420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929" w:type="pct"/>
            <w:noWrap w:val="0"/>
            <w:vAlign w:val="center"/>
          </w:tcPr>
          <w:p w14:paraId="62869DCA">
            <w:pPr>
              <w:jc w:val="center"/>
              <w:rPr>
                <w:kern w:val="0"/>
              </w:rPr>
            </w:pPr>
            <w:r>
              <w:rPr>
                <w:rFonts w:hint="eastAsia" w:ascii="宋体" w:hAnsi="宋体"/>
                <w:b/>
                <w:kern w:val="0"/>
                <w:lang w:val="zh-CN"/>
              </w:rPr>
              <w:t>加固分类</w:t>
            </w:r>
          </w:p>
        </w:tc>
        <w:tc>
          <w:tcPr>
            <w:tcW w:w="3071" w:type="pct"/>
            <w:noWrap w:val="0"/>
            <w:vAlign w:val="center"/>
          </w:tcPr>
          <w:p w14:paraId="0DF21226">
            <w:pPr>
              <w:jc w:val="center"/>
              <w:rPr>
                <w:kern w:val="0"/>
              </w:rPr>
            </w:pPr>
            <w:r>
              <w:rPr>
                <w:rFonts w:hint="eastAsia" w:ascii="宋体" w:hAnsi="宋体"/>
                <w:b/>
                <w:kern w:val="0"/>
                <w:lang w:val="zh-CN"/>
              </w:rPr>
              <w:t>加固范围详细描述</w:t>
            </w:r>
          </w:p>
        </w:tc>
      </w:tr>
      <w:tr w14:paraId="7869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pct"/>
            <w:noWrap w:val="0"/>
            <w:vAlign w:val="center"/>
          </w:tcPr>
          <w:p w14:paraId="2E24DAEC">
            <w:pPr>
              <w:spacing w:line="360" w:lineRule="auto"/>
              <w:rPr>
                <w:kern w:val="0"/>
              </w:rPr>
            </w:pPr>
            <w:r>
              <w:rPr>
                <w:rFonts w:hint="eastAsia" w:ascii="宋体" w:hAnsi="宋体" w:cs="仿宋_GB2312"/>
                <w:kern w:val="0"/>
                <w:lang w:val="zh-CN"/>
              </w:rPr>
              <w:t>网路设备加固</w:t>
            </w:r>
          </w:p>
        </w:tc>
        <w:tc>
          <w:tcPr>
            <w:tcW w:w="3071" w:type="pct"/>
            <w:noWrap w:val="0"/>
            <w:vAlign w:val="center"/>
          </w:tcPr>
          <w:p w14:paraId="27A50940">
            <w:pPr>
              <w:spacing w:line="360" w:lineRule="auto"/>
              <w:rPr>
                <w:rFonts w:ascii="宋体" w:hAnsi="宋体" w:cs="仿宋_GB2312"/>
                <w:kern w:val="0"/>
                <w:lang w:val="zh-CN"/>
              </w:rPr>
            </w:pPr>
            <w:r>
              <w:rPr>
                <w:rFonts w:hint="eastAsia" w:ascii="宋体" w:hAnsi="宋体" w:cs="仿宋_GB2312"/>
                <w:kern w:val="0"/>
                <w:lang w:val="zh-CN"/>
              </w:rPr>
              <w:t>锐捷、华为、Juniper等路由器</w:t>
            </w:r>
          </w:p>
          <w:p w14:paraId="589D5A7C">
            <w:pPr>
              <w:spacing w:line="360" w:lineRule="auto"/>
              <w:rPr>
                <w:rFonts w:ascii="宋体" w:hAnsi="宋体" w:cs="仿宋_GB2312"/>
                <w:kern w:val="0"/>
                <w:lang w:val="zh-CN"/>
              </w:rPr>
            </w:pPr>
            <w:r>
              <w:rPr>
                <w:rFonts w:hint="eastAsia" w:ascii="宋体" w:hAnsi="宋体" w:cs="仿宋_GB2312"/>
                <w:kern w:val="0"/>
                <w:lang w:val="zh-CN"/>
              </w:rPr>
              <w:t>锐捷、华为、Juniper等交换机</w:t>
            </w:r>
          </w:p>
          <w:p w14:paraId="31A0A37D">
            <w:pPr>
              <w:spacing w:line="360" w:lineRule="auto"/>
              <w:rPr>
                <w:kern w:val="0"/>
              </w:rPr>
            </w:pPr>
            <w:r>
              <w:rPr>
                <w:rFonts w:hint="eastAsia" w:ascii="宋体" w:hAnsi="宋体" w:cs="仿宋_GB2312"/>
                <w:kern w:val="0"/>
                <w:lang w:val="zh-CN"/>
              </w:rPr>
              <w:t>其他厂商设备：防火墙、入侵检测、入侵防御设备、防毒墙、垃圾邮件等</w:t>
            </w:r>
          </w:p>
        </w:tc>
      </w:tr>
      <w:tr w14:paraId="12A4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pct"/>
            <w:noWrap w:val="0"/>
            <w:vAlign w:val="center"/>
          </w:tcPr>
          <w:p w14:paraId="6B01664E">
            <w:pPr>
              <w:spacing w:line="360" w:lineRule="auto"/>
              <w:rPr>
                <w:kern w:val="0"/>
              </w:rPr>
            </w:pPr>
            <w:r>
              <w:rPr>
                <w:rFonts w:hint="eastAsia" w:ascii="宋体" w:hAnsi="宋体" w:cs="仿宋_GB2312"/>
                <w:kern w:val="0"/>
                <w:lang w:val="zh-CN"/>
              </w:rPr>
              <w:t>主机操作系统加固</w:t>
            </w:r>
          </w:p>
        </w:tc>
        <w:tc>
          <w:tcPr>
            <w:tcW w:w="3071" w:type="pct"/>
            <w:noWrap w:val="0"/>
            <w:vAlign w:val="center"/>
          </w:tcPr>
          <w:p w14:paraId="4ED46861">
            <w:pPr>
              <w:spacing w:line="360" w:lineRule="auto"/>
              <w:rPr>
                <w:rFonts w:ascii="宋体" w:hAnsi="宋体" w:cs="仿宋_GB2312"/>
                <w:kern w:val="0"/>
              </w:rPr>
            </w:pPr>
            <w:r>
              <w:rPr>
                <w:rFonts w:hint="eastAsia" w:ascii="宋体" w:hAnsi="宋体" w:cs="仿宋_GB2312"/>
                <w:kern w:val="0"/>
                <w:lang w:val="zh-CN"/>
              </w:rPr>
              <w:t>微软系列操作系统</w:t>
            </w:r>
            <w:r>
              <w:rPr>
                <w:rFonts w:hint="eastAsia" w:ascii="宋体" w:hAnsi="宋体" w:cs="仿宋_GB2312"/>
                <w:kern w:val="0"/>
              </w:rPr>
              <w:t>，Windows 2003/2008/2012/2016</w:t>
            </w:r>
            <w:r>
              <w:rPr>
                <w:rFonts w:hint="eastAsia" w:ascii="宋体" w:hAnsi="宋体" w:cs="仿宋_GB2312"/>
                <w:kern w:val="0"/>
                <w:lang w:val="zh-CN"/>
              </w:rPr>
              <w:t>等</w:t>
            </w:r>
          </w:p>
          <w:p w14:paraId="28031AD8">
            <w:pPr>
              <w:spacing w:line="360" w:lineRule="auto"/>
              <w:rPr>
                <w:rFonts w:ascii="宋体" w:hAnsi="宋体" w:cs="仿宋_GB2312"/>
                <w:kern w:val="0"/>
              </w:rPr>
            </w:pPr>
            <w:r>
              <w:rPr>
                <w:rFonts w:hint="eastAsia" w:ascii="宋体" w:hAnsi="宋体" w:cs="仿宋_GB2312"/>
                <w:kern w:val="0"/>
                <w:lang w:val="zh-CN"/>
              </w:rPr>
              <w:t>各类</w:t>
            </w:r>
            <w:r>
              <w:rPr>
                <w:rFonts w:hint="eastAsia" w:ascii="宋体" w:hAnsi="宋体" w:cs="仿宋_GB2312"/>
                <w:kern w:val="0"/>
              </w:rPr>
              <w:t>Linux</w:t>
            </w:r>
            <w:r>
              <w:rPr>
                <w:rFonts w:hint="eastAsia" w:ascii="宋体" w:hAnsi="宋体" w:cs="仿宋_GB2312"/>
                <w:kern w:val="0"/>
                <w:lang w:val="zh-CN"/>
              </w:rPr>
              <w:t>系列操作系统</w:t>
            </w:r>
            <w:r>
              <w:rPr>
                <w:rFonts w:hint="eastAsia" w:ascii="宋体" w:hAnsi="宋体" w:cs="仿宋_GB2312"/>
                <w:kern w:val="0"/>
              </w:rPr>
              <w:t>，Redhat</w:t>
            </w:r>
            <w:r>
              <w:rPr>
                <w:rFonts w:hint="eastAsia" w:ascii="宋体" w:hAnsi="宋体" w:cs="仿宋_GB2312"/>
                <w:kern w:val="0"/>
                <w:lang w:val="zh-CN"/>
              </w:rPr>
              <w:t>、</w:t>
            </w:r>
            <w:r>
              <w:rPr>
                <w:rFonts w:hint="eastAsia" w:ascii="宋体" w:hAnsi="宋体" w:cs="仿宋_GB2312"/>
                <w:kern w:val="0"/>
              </w:rPr>
              <w:t>Ubuntu</w:t>
            </w:r>
            <w:r>
              <w:rPr>
                <w:rFonts w:hint="eastAsia" w:ascii="宋体" w:hAnsi="宋体" w:cs="仿宋_GB2312"/>
                <w:kern w:val="0"/>
                <w:lang w:val="zh-CN"/>
              </w:rPr>
              <w:t>、</w:t>
            </w:r>
            <w:r>
              <w:rPr>
                <w:rFonts w:hint="eastAsia" w:ascii="宋体" w:hAnsi="宋体" w:cs="仿宋_GB2312"/>
                <w:kern w:val="0"/>
              </w:rPr>
              <w:t>Debian</w:t>
            </w:r>
            <w:r>
              <w:rPr>
                <w:rFonts w:hint="eastAsia" w:ascii="宋体" w:hAnsi="宋体" w:cs="仿宋_GB2312"/>
                <w:kern w:val="0"/>
                <w:lang w:val="zh-CN"/>
              </w:rPr>
              <w:t>等</w:t>
            </w:r>
          </w:p>
          <w:p w14:paraId="33AF51A0">
            <w:pPr>
              <w:spacing w:line="360" w:lineRule="auto"/>
              <w:rPr>
                <w:kern w:val="0"/>
              </w:rPr>
            </w:pPr>
            <w:r>
              <w:rPr>
                <w:rFonts w:hint="eastAsia" w:ascii="宋体" w:hAnsi="宋体" w:cs="仿宋_GB2312"/>
                <w:kern w:val="0"/>
                <w:lang w:val="zh-CN"/>
              </w:rPr>
              <w:t>各类</w:t>
            </w:r>
            <w:r>
              <w:rPr>
                <w:rFonts w:hint="eastAsia" w:ascii="宋体" w:hAnsi="宋体" w:cs="仿宋_GB2312"/>
                <w:kern w:val="0"/>
              </w:rPr>
              <w:t>Unix</w:t>
            </w:r>
            <w:r>
              <w:rPr>
                <w:rFonts w:hint="eastAsia" w:ascii="宋体" w:hAnsi="宋体" w:cs="仿宋_GB2312"/>
                <w:kern w:val="0"/>
                <w:lang w:val="zh-CN"/>
              </w:rPr>
              <w:t>系列操作系统</w:t>
            </w:r>
            <w:r>
              <w:rPr>
                <w:rFonts w:hint="eastAsia" w:ascii="宋体" w:hAnsi="宋体" w:cs="仿宋_GB2312"/>
                <w:kern w:val="0"/>
              </w:rPr>
              <w:t>，Solaris</w:t>
            </w:r>
            <w:r>
              <w:rPr>
                <w:rFonts w:hint="eastAsia" w:ascii="宋体" w:hAnsi="宋体" w:cs="仿宋_GB2312"/>
                <w:kern w:val="0"/>
                <w:lang w:val="zh-CN"/>
              </w:rPr>
              <w:t>、</w:t>
            </w:r>
            <w:r>
              <w:rPr>
                <w:rFonts w:hint="eastAsia" w:ascii="宋体" w:hAnsi="宋体" w:cs="仿宋_GB2312"/>
                <w:kern w:val="0"/>
              </w:rPr>
              <w:t>AIX</w:t>
            </w:r>
            <w:r>
              <w:rPr>
                <w:rFonts w:hint="eastAsia" w:ascii="宋体" w:hAnsi="宋体" w:cs="仿宋_GB2312"/>
                <w:kern w:val="0"/>
                <w:lang w:val="zh-CN"/>
              </w:rPr>
              <w:t>、</w:t>
            </w:r>
            <w:r>
              <w:rPr>
                <w:rFonts w:hint="eastAsia" w:ascii="宋体" w:hAnsi="宋体" w:cs="仿宋_GB2312"/>
                <w:kern w:val="0"/>
              </w:rPr>
              <w:t>HP-UX</w:t>
            </w:r>
            <w:r>
              <w:rPr>
                <w:rFonts w:hint="eastAsia" w:ascii="宋体" w:hAnsi="宋体" w:cs="仿宋_GB2312"/>
                <w:kern w:val="0"/>
                <w:lang w:val="zh-CN"/>
              </w:rPr>
              <w:t>、</w:t>
            </w:r>
            <w:r>
              <w:rPr>
                <w:rFonts w:hint="eastAsia" w:ascii="宋体" w:hAnsi="宋体" w:cs="仿宋_GB2312"/>
                <w:kern w:val="0"/>
              </w:rPr>
              <w:t>BSD</w:t>
            </w:r>
            <w:r>
              <w:rPr>
                <w:rFonts w:hint="eastAsia" w:ascii="宋体" w:hAnsi="宋体" w:cs="仿宋_GB2312"/>
                <w:kern w:val="0"/>
                <w:lang w:val="zh-CN"/>
              </w:rPr>
              <w:t>等</w:t>
            </w:r>
          </w:p>
        </w:tc>
      </w:tr>
      <w:tr w14:paraId="6F96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pct"/>
            <w:noWrap w:val="0"/>
            <w:vAlign w:val="center"/>
          </w:tcPr>
          <w:p w14:paraId="48EC16A7">
            <w:pPr>
              <w:spacing w:line="360" w:lineRule="auto"/>
              <w:rPr>
                <w:kern w:val="0"/>
              </w:rPr>
            </w:pPr>
            <w:r>
              <w:rPr>
                <w:rFonts w:hint="eastAsia" w:ascii="宋体" w:hAnsi="宋体" w:cs="仿宋_GB2312"/>
                <w:kern w:val="0"/>
                <w:lang w:val="zh-CN"/>
              </w:rPr>
              <w:t>数据库加固</w:t>
            </w:r>
          </w:p>
        </w:tc>
        <w:tc>
          <w:tcPr>
            <w:tcW w:w="3071" w:type="pct"/>
            <w:noWrap w:val="0"/>
            <w:vAlign w:val="center"/>
          </w:tcPr>
          <w:p w14:paraId="675D447F">
            <w:pPr>
              <w:spacing w:line="360" w:lineRule="auto"/>
              <w:rPr>
                <w:rFonts w:ascii="宋体" w:hAnsi="宋体" w:cs="仿宋_GB2312"/>
                <w:kern w:val="0"/>
              </w:rPr>
            </w:pPr>
            <w:r>
              <w:rPr>
                <w:rFonts w:hint="eastAsia" w:ascii="宋体" w:hAnsi="宋体" w:cs="仿宋_GB2312"/>
                <w:kern w:val="0"/>
                <w:lang w:val="zh-CN"/>
              </w:rPr>
              <w:t>微软</w:t>
            </w:r>
            <w:r>
              <w:rPr>
                <w:rFonts w:hint="eastAsia" w:ascii="宋体" w:hAnsi="宋体" w:cs="仿宋_GB2312"/>
                <w:kern w:val="0"/>
              </w:rPr>
              <w:t>MSSQL</w:t>
            </w:r>
            <w:r>
              <w:rPr>
                <w:rFonts w:hint="eastAsia" w:ascii="宋体" w:hAnsi="宋体" w:cs="仿宋_GB2312"/>
                <w:kern w:val="0"/>
                <w:lang w:val="zh-CN"/>
              </w:rPr>
              <w:t>系列</w:t>
            </w:r>
            <w:r>
              <w:rPr>
                <w:rFonts w:hint="eastAsia" w:ascii="宋体" w:hAnsi="宋体" w:cs="仿宋_GB2312"/>
                <w:kern w:val="0"/>
              </w:rPr>
              <w:t>，SQL Sever 2000/2005/2008/</w:t>
            </w:r>
            <w:r>
              <w:rPr>
                <w:rFonts w:hint="eastAsia" w:ascii="宋体" w:hAnsi="宋体" w:cs="仿宋_GB2312"/>
                <w:kern w:val="0"/>
                <w:lang w:val="zh-CN"/>
              </w:rPr>
              <w:t>等</w:t>
            </w:r>
          </w:p>
          <w:p w14:paraId="54007177">
            <w:pPr>
              <w:spacing w:line="360" w:lineRule="auto"/>
              <w:rPr>
                <w:rFonts w:ascii="宋体" w:hAnsi="宋体" w:cs="仿宋_GB2312"/>
                <w:kern w:val="0"/>
              </w:rPr>
            </w:pPr>
            <w:r>
              <w:rPr>
                <w:rFonts w:hint="eastAsia" w:ascii="宋体" w:hAnsi="宋体" w:cs="仿宋_GB2312"/>
                <w:kern w:val="0"/>
                <w:lang w:val="zh-CN"/>
              </w:rPr>
              <w:t>甲骨文</w:t>
            </w:r>
            <w:r>
              <w:rPr>
                <w:rFonts w:hint="eastAsia" w:ascii="宋体" w:hAnsi="宋体" w:cs="仿宋_GB2312"/>
                <w:kern w:val="0"/>
              </w:rPr>
              <w:t>Oracle</w:t>
            </w:r>
            <w:r>
              <w:rPr>
                <w:rFonts w:hint="eastAsia" w:ascii="宋体" w:hAnsi="宋体" w:cs="仿宋_GB2312"/>
                <w:kern w:val="0"/>
                <w:lang w:val="zh-CN"/>
              </w:rPr>
              <w:t>系列</w:t>
            </w:r>
            <w:r>
              <w:rPr>
                <w:rFonts w:hint="eastAsia" w:ascii="宋体" w:hAnsi="宋体" w:cs="仿宋_GB2312"/>
                <w:kern w:val="0"/>
              </w:rPr>
              <w:t>，Oracle 9i/10g/11g</w:t>
            </w:r>
            <w:r>
              <w:rPr>
                <w:rFonts w:hint="eastAsia" w:ascii="宋体" w:hAnsi="宋体" w:cs="仿宋_GB2312"/>
                <w:kern w:val="0"/>
                <w:lang w:val="zh-CN"/>
              </w:rPr>
              <w:t>等</w:t>
            </w:r>
          </w:p>
          <w:p w14:paraId="1D1EC4D6">
            <w:pPr>
              <w:spacing w:line="360" w:lineRule="auto"/>
              <w:rPr>
                <w:kern w:val="0"/>
              </w:rPr>
            </w:pPr>
            <w:r>
              <w:rPr>
                <w:rFonts w:hint="eastAsia" w:ascii="宋体" w:hAnsi="宋体" w:cs="仿宋_GB2312"/>
                <w:kern w:val="0"/>
                <w:lang w:val="zh-CN"/>
              </w:rPr>
              <w:t>其他数据库</w:t>
            </w:r>
            <w:r>
              <w:rPr>
                <w:rFonts w:hint="eastAsia" w:ascii="宋体" w:hAnsi="宋体" w:cs="仿宋_GB2312"/>
                <w:kern w:val="0"/>
              </w:rPr>
              <w:t>，MySQL</w:t>
            </w:r>
            <w:r>
              <w:rPr>
                <w:rFonts w:hint="eastAsia" w:ascii="宋体" w:hAnsi="宋体" w:cs="仿宋_GB2312"/>
                <w:kern w:val="0"/>
                <w:lang w:val="zh-CN"/>
              </w:rPr>
              <w:t>、</w:t>
            </w:r>
            <w:r>
              <w:rPr>
                <w:rFonts w:hint="eastAsia" w:ascii="宋体" w:hAnsi="宋体" w:cs="仿宋_GB2312"/>
                <w:kern w:val="0"/>
              </w:rPr>
              <w:t>DB2</w:t>
            </w:r>
            <w:r>
              <w:rPr>
                <w:rFonts w:hint="eastAsia" w:ascii="宋体" w:hAnsi="宋体" w:cs="仿宋_GB2312"/>
                <w:kern w:val="0"/>
                <w:lang w:val="zh-CN"/>
              </w:rPr>
              <w:t>、</w:t>
            </w:r>
            <w:r>
              <w:rPr>
                <w:rFonts w:hint="eastAsia" w:ascii="宋体" w:hAnsi="宋体" w:cs="仿宋_GB2312"/>
                <w:kern w:val="0"/>
              </w:rPr>
              <w:t>Sybase</w:t>
            </w:r>
            <w:r>
              <w:rPr>
                <w:rFonts w:hint="eastAsia" w:ascii="宋体" w:hAnsi="宋体" w:cs="仿宋_GB2312"/>
                <w:kern w:val="0"/>
                <w:lang w:val="zh-CN"/>
              </w:rPr>
              <w:t>、</w:t>
            </w:r>
            <w:r>
              <w:rPr>
                <w:rFonts w:hint="eastAsia" w:ascii="宋体" w:hAnsi="宋体" w:cs="仿宋_GB2312"/>
                <w:kern w:val="0"/>
              </w:rPr>
              <w:t>Informix</w:t>
            </w:r>
            <w:r>
              <w:rPr>
                <w:rFonts w:hint="eastAsia" w:ascii="宋体" w:hAnsi="宋体" w:cs="仿宋_GB2312"/>
                <w:kern w:val="0"/>
                <w:lang w:val="zh-CN"/>
              </w:rPr>
              <w:t>等</w:t>
            </w:r>
          </w:p>
        </w:tc>
      </w:tr>
      <w:tr w14:paraId="2B8F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pct"/>
            <w:noWrap w:val="0"/>
            <w:vAlign w:val="center"/>
          </w:tcPr>
          <w:p w14:paraId="6716E4C1">
            <w:pPr>
              <w:spacing w:line="360" w:lineRule="auto"/>
              <w:rPr>
                <w:kern w:val="0"/>
              </w:rPr>
            </w:pPr>
            <w:r>
              <w:rPr>
                <w:rFonts w:hint="eastAsia" w:ascii="宋体" w:hAnsi="宋体" w:cs="仿宋_GB2312"/>
                <w:kern w:val="0"/>
                <w:lang w:val="zh-CN"/>
              </w:rPr>
              <w:t>常见中间件及网络服务加固</w:t>
            </w:r>
          </w:p>
        </w:tc>
        <w:tc>
          <w:tcPr>
            <w:tcW w:w="3071" w:type="pct"/>
            <w:noWrap w:val="0"/>
            <w:vAlign w:val="center"/>
          </w:tcPr>
          <w:p w14:paraId="2DFDE9FB">
            <w:pPr>
              <w:spacing w:line="360" w:lineRule="auto"/>
              <w:rPr>
                <w:rFonts w:ascii="宋体" w:hAnsi="宋体" w:cs="仿宋_GB2312"/>
                <w:kern w:val="0"/>
              </w:rPr>
            </w:pPr>
            <w:r>
              <w:rPr>
                <w:rFonts w:hint="eastAsia" w:ascii="宋体" w:hAnsi="宋体" w:cs="仿宋_GB2312"/>
                <w:kern w:val="0"/>
              </w:rPr>
              <w:t>Web</w:t>
            </w:r>
            <w:r>
              <w:rPr>
                <w:rFonts w:hint="eastAsia" w:ascii="宋体" w:hAnsi="宋体" w:cs="仿宋_GB2312"/>
                <w:kern w:val="0"/>
                <w:lang w:val="zh-CN"/>
              </w:rPr>
              <w:t>服务类</w:t>
            </w:r>
            <w:r>
              <w:rPr>
                <w:rFonts w:hint="eastAsia" w:ascii="宋体" w:hAnsi="宋体" w:cs="仿宋_GB2312"/>
                <w:kern w:val="0"/>
              </w:rPr>
              <w:t>，IIS6.0</w:t>
            </w:r>
            <w:r>
              <w:rPr>
                <w:rFonts w:hint="eastAsia" w:ascii="宋体" w:hAnsi="宋体" w:cs="仿宋_GB2312"/>
                <w:kern w:val="0"/>
                <w:lang w:val="zh-CN"/>
              </w:rPr>
              <w:t>、</w:t>
            </w:r>
            <w:r>
              <w:rPr>
                <w:rFonts w:hint="eastAsia" w:ascii="宋体" w:hAnsi="宋体" w:cs="仿宋_GB2312"/>
                <w:kern w:val="0"/>
              </w:rPr>
              <w:t>IIS7.0</w:t>
            </w:r>
            <w:r>
              <w:rPr>
                <w:rFonts w:hint="eastAsia" w:ascii="宋体" w:hAnsi="宋体" w:cs="仿宋_GB2312"/>
                <w:kern w:val="0"/>
                <w:lang w:val="zh-CN"/>
              </w:rPr>
              <w:t>、</w:t>
            </w:r>
            <w:r>
              <w:rPr>
                <w:rFonts w:hint="eastAsia" w:ascii="宋体" w:hAnsi="宋体" w:cs="仿宋_GB2312"/>
                <w:kern w:val="0"/>
              </w:rPr>
              <w:t>Apache</w:t>
            </w:r>
            <w:r>
              <w:rPr>
                <w:rFonts w:hint="eastAsia" w:ascii="宋体" w:hAnsi="宋体" w:cs="仿宋_GB2312"/>
                <w:kern w:val="0"/>
                <w:lang w:val="zh-CN"/>
              </w:rPr>
              <w:t>、</w:t>
            </w:r>
            <w:r>
              <w:rPr>
                <w:rFonts w:hint="eastAsia" w:ascii="宋体" w:hAnsi="宋体" w:cs="仿宋_GB2312"/>
                <w:kern w:val="0"/>
              </w:rPr>
              <w:t>Tomcat</w:t>
            </w:r>
            <w:r>
              <w:rPr>
                <w:rFonts w:hint="eastAsia" w:ascii="宋体" w:hAnsi="宋体" w:cs="仿宋_GB2312"/>
                <w:kern w:val="0"/>
                <w:lang w:val="zh-CN"/>
              </w:rPr>
              <w:t>、</w:t>
            </w:r>
            <w:r>
              <w:rPr>
                <w:rFonts w:hint="eastAsia" w:ascii="宋体" w:hAnsi="宋体" w:cs="仿宋_GB2312"/>
                <w:kern w:val="0"/>
              </w:rPr>
              <w:t>Weblogic</w:t>
            </w:r>
            <w:r>
              <w:rPr>
                <w:rFonts w:hint="eastAsia" w:ascii="宋体" w:hAnsi="宋体" w:cs="仿宋_GB2312"/>
                <w:kern w:val="0"/>
                <w:lang w:val="zh-CN"/>
              </w:rPr>
              <w:t>、</w:t>
            </w:r>
            <w:r>
              <w:rPr>
                <w:rFonts w:hint="eastAsia" w:ascii="宋体" w:hAnsi="宋体" w:cs="仿宋_GB2312"/>
                <w:kern w:val="0"/>
              </w:rPr>
              <w:t>Nginx</w:t>
            </w:r>
            <w:r>
              <w:rPr>
                <w:rFonts w:hint="eastAsia" w:ascii="宋体" w:hAnsi="宋体" w:cs="仿宋_GB2312"/>
                <w:kern w:val="0"/>
                <w:lang w:val="zh-CN"/>
              </w:rPr>
              <w:t>、</w:t>
            </w:r>
            <w:r>
              <w:rPr>
                <w:rFonts w:hint="eastAsia" w:ascii="宋体" w:hAnsi="宋体" w:cs="仿宋_GB2312"/>
                <w:kern w:val="0"/>
              </w:rPr>
              <w:t>WebSphere</w:t>
            </w:r>
            <w:r>
              <w:rPr>
                <w:rFonts w:hint="eastAsia" w:ascii="宋体" w:hAnsi="宋体" w:cs="仿宋_GB2312"/>
                <w:kern w:val="0"/>
                <w:lang w:val="zh-CN"/>
              </w:rPr>
              <w:t>等</w:t>
            </w:r>
          </w:p>
          <w:p w14:paraId="3B74AE5E">
            <w:pPr>
              <w:spacing w:line="360" w:lineRule="auto"/>
              <w:rPr>
                <w:rFonts w:ascii="宋体" w:hAnsi="宋体" w:cs="仿宋_GB2312"/>
                <w:kern w:val="0"/>
              </w:rPr>
            </w:pPr>
            <w:r>
              <w:rPr>
                <w:rFonts w:hint="eastAsia" w:ascii="宋体" w:hAnsi="宋体" w:cs="仿宋_GB2312"/>
                <w:kern w:val="0"/>
              </w:rPr>
              <w:t>DNS</w:t>
            </w:r>
            <w:r>
              <w:rPr>
                <w:rFonts w:hint="eastAsia" w:ascii="宋体" w:hAnsi="宋体" w:cs="仿宋_GB2312"/>
                <w:kern w:val="0"/>
                <w:lang w:val="zh-CN"/>
              </w:rPr>
              <w:t>服务类</w:t>
            </w:r>
            <w:r>
              <w:rPr>
                <w:rFonts w:hint="eastAsia" w:ascii="宋体" w:hAnsi="宋体" w:cs="仿宋_GB2312"/>
                <w:kern w:val="0"/>
              </w:rPr>
              <w:t>，Bind 8</w:t>
            </w:r>
            <w:r>
              <w:rPr>
                <w:rFonts w:hint="eastAsia" w:ascii="宋体" w:hAnsi="宋体" w:cs="仿宋_GB2312"/>
                <w:kern w:val="0"/>
                <w:lang w:val="zh-CN"/>
              </w:rPr>
              <w:t>、</w:t>
            </w:r>
            <w:r>
              <w:rPr>
                <w:rFonts w:hint="eastAsia" w:ascii="宋体" w:hAnsi="宋体" w:cs="仿宋_GB2312"/>
                <w:kern w:val="0"/>
              </w:rPr>
              <w:t>Bind 9</w:t>
            </w:r>
            <w:r>
              <w:rPr>
                <w:rFonts w:hint="eastAsia" w:ascii="宋体" w:hAnsi="宋体" w:cs="仿宋_GB2312"/>
                <w:kern w:val="0"/>
                <w:lang w:val="zh-CN"/>
              </w:rPr>
              <w:t>等</w:t>
            </w:r>
          </w:p>
          <w:p w14:paraId="680D173B">
            <w:pPr>
              <w:spacing w:line="360" w:lineRule="auto"/>
              <w:rPr>
                <w:rFonts w:ascii="宋体" w:hAnsi="宋体" w:cs="仿宋_GB2312"/>
                <w:kern w:val="0"/>
              </w:rPr>
            </w:pPr>
            <w:r>
              <w:rPr>
                <w:rFonts w:hint="eastAsia" w:ascii="宋体" w:hAnsi="宋体" w:cs="仿宋_GB2312"/>
                <w:kern w:val="0"/>
              </w:rPr>
              <w:t>FTP</w:t>
            </w:r>
            <w:r>
              <w:rPr>
                <w:rFonts w:hint="eastAsia" w:ascii="宋体" w:hAnsi="宋体" w:cs="仿宋_GB2312"/>
                <w:kern w:val="0"/>
                <w:lang w:val="zh-CN"/>
              </w:rPr>
              <w:t>服务类</w:t>
            </w:r>
            <w:r>
              <w:rPr>
                <w:rFonts w:hint="eastAsia" w:ascii="宋体" w:hAnsi="宋体" w:cs="仿宋_GB2312"/>
                <w:kern w:val="0"/>
              </w:rPr>
              <w:t>，ServU</w:t>
            </w:r>
            <w:r>
              <w:rPr>
                <w:rFonts w:hint="eastAsia" w:ascii="宋体" w:hAnsi="宋体" w:cs="仿宋_GB2312"/>
                <w:kern w:val="0"/>
                <w:lang w:val="zh-CN"/>
              </w:rPr>
              <w:t>、</w:t>
            </w:r>
            <w:r>
              <w:rPr>
                <w:rFonts w:hint="eastAsia" w:ascii="宋体" w:hAnsi="宋体" w:cs="仿宋_GB2312"/>
                <w:kern w:val="0"/>
              </w:rPr>
              <w:t>MS IIS FTP</w:t>
            </w:r>
            <w:r>
              <w:rPr>
                <w:rFonts w:hint="eastAsia" w:ascii="宋体" w:hAnsi="宋体" w:cs="仿宋_GB2312"/>
                <w:kern w:val="0"/>
                <w:lang w:val="zh-CN"/>
              </w:rPr>
              <w:t>等</w:t>
            </w:r>
          </w:p>
          <w:p w14:paraId="2A5F902E">
            <w:pPr>
              <w:spacing w:line="360" w:lineRule="auto"/>
              <w:rPr>
                <w:kern w:val="0"/>
              </w:rPr>
            </w:pPr>
            <w:r>
              <w:rPr>
                <w:rFonts w:hint="eastAsia" w:ascii="宋体" w:hAnsi="宋体" w:cs="仿宋_GB2312"/>
                <w:kern w:val="0"/>
                <w:lang w:val="zh-CN"/>
              </w:rPr>
              <w:t>其他常见网络服务</w:t>
            </w:r>
            <w:r>
              <w:rPr>
                <w:rFonts w:hint="eastAsia" w:ascii="宋体" w:hAnsi="宋体" w:cs="仿宋_GB2312"/>
                <w:kern w:val="0"/>
              </w:rPr>
              <w:t>，MAIL</w:t>
            </w:r>
            <w:r>
              <w:rPr>
                <w:rFonts w:hint="eastAsia" w:ascii="宋体" w:hAnsi="宋体" w:cs="仿宋_GB2312"/>
                <w:kern w:val="0"/>
                <w:lang w:val="zh-CN"/>
              </w:rPr>
              <w:t>、</w:t>
            </w:r>
            <w:r>
              <w:rPr>
                <w:rFonts w:hint="eastAsia" w:ascii="宋体" w:hAnsi="宋体" w:cs="仿宋_GB2312"/>
                <w:kern w:val="0"/>
              </w:rPr>
              <w:t>Proxy</w:t>
            </w:r>
            <w:r>
              <w:rPr>
                <w:rFonts w:hint="eastAsia" w:ascii="宋体" w:hAnsi="宋体" w:cs="仿宋_GB2312"/>
                <w:kern w:val="0"/>
                <w:lang w:val="zh-CN"/>
              </w:rPr>
              <w:t>、</w:t>
            </w:r>
            <w:r>
              <w:rPr>
                <w:rFonts w:hint="eastAsia" w:ascii="宋体" w:hAnsi="宋体" w:cs="仿宋_GB2312"/>
                <w:kern w:val="0"/>
              </w:rPr>
              <w:t>POP3</w:t>
            </w:r>
            <w:r>
              <w:rPr>
                <w:rFonts w:hint="eastAsia" w:ascii="宋体" w:hAnsi="宋体" w:cs="仿宋_GB2312"/>
                <w:kern w:val="0"/>
                <w:lang w:val="zh-CN"/>
              </w:rPr>
              <w:t>、</w:t>
            </w:r>
            <w:r>
              <w:rPr>
                <w:rFonts w:hint="eastAsia" w:ascii="宋体" w:hAnsi="宋体" w:cs="仿宋_GB2312"/>
                <w:kern w:val="0"/>
              </w:rPr>
              <w:t>SMTP</w:t>
            </w:r>
            <w:r>
              <w:rPr>
                <w:rFonts w:hint="eastAsia" w:ascii="宋体" w:hAnsi="宋体" w:cs="仿宋_GB2312"/>
                <w:kern w:val="0"/>
                <w:lang w:val="zh-CN"/>
              </w:rPr>
              <w:t>等</w:t>
            </w:r>
          </w:p>
        </w:tc>
      </w:tr>
    </w:tbl>
    <w:p w14:paraId="3042B2BC">
      <w:pPr>
        <w:tabs>
          <w:tab w:val="left" w:pos="510"/>
          <w:tab w:val="left" w:pos="540"/>
          <w:tab w:val="left" w:pos="993"/>
        </w:tabs>
        <w:adjustRightInd w:val="0"/>
        <w:spacing w:line="360" w:lineRule="auto"/>
        <w:ind w:left="420" w:leftChars="200"/>
        <w:rPr>
          <w:rFonts w:hint="eastAsia" w:ascii="宋体" w:hAnsi="宋体" w:cs="宋体"/>
          <w:b/>
          <w:bCs/>
        </w:rPr>
      </w:pPr>
      <w:r>
        <w:rPr>
          <w:rFonts w:hint="eastAsia" w:ascii="宋体" w:hAnsi="宋体" w:cs="宋体"/>
          <w:b/>
          <w:bCs/>
        </w:rPr>
        <w:t>1.1.3网络设备加固内容</w:t>
      </w:r>
    </w:p>
    <w:p w14:paraId="5775C650">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网络设备安全加固包含但不限于以下内容：</w:t>
      </w:r>
    </w:p>
    <w:p w14:paraId="443FA8D9">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1）OS升级</w:t>
      </w:r>
    </w:p>
    <w:p w14:paraId="4A5C34F8">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2）帐号和口令管理</w:t>
      </w:r>
    </w:p>
    <w:p w14:paraId="261F7839">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3）认证和授权策略调整</w:t>
      </w:r>
    </w:p>
    <w:p w14:paraId="1C1F9DCA">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4）网络与服务加固</w:t>
      </w:r>
    </w:p>
    <w:p w14:paraId="241F3A86">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5）访问控制策略增强</w:t>
      </w:r>
    </w:p>
    <w:p w14:paraId="2506D790">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6）通讯协议、路由协议加固</w:t>
      </w:r>
    </w:p>
    <w:p w14:paraId="2E7697D5">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7）日志审核策略增强</w:t>
      </w:r>
    </w:p>
    <w:p w14:paraId="73FFE275">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8）加密管理加固</w:t>
      </w:r>
    </w:p>
    <w:p w14:paraId="4BD32053">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9）设备其他安全配置增强</w:t>
      </w:r>
    </w:p>
    <w:p w14:paraId="43DCFCF8">
      <w:pPr>
        <w:tabs>
          <w:tab w:val="left" w:pos="510"/>
          <w:tab w:val="left" w:pos="540"/>
          <w:tab w:val="left" w:pos="993"/>
        </w:tabs>
        <w:adjustRightInd w:val="0"/>
        <w:spacing w:line="360" w:lineRule="auto"/>
        <w:ind w:left="420" w:leftChars="200"/>
        <w:rPr>
          <w:rFonts w:hint="eastAsia" w:ascii="宋体" w:hAnsi="宋体"/>
          <w:b/>
        </w:rPr>
      </w:pPr>
      <w:r>
        <w:rPr>
          <w:rFonts w:hint="eastAsia" w:ascii="宋体" w:hAnsi="宋体"/>
          <w:b/>
        </w:rPr>
        <w:t>1.1.4主机操作系统加固内容</w:t>
      </w:r>
    </w:p>
    <w:p w14:paraId="4B7127BF">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主机操作系统安全加固包含但不限于以下内容：</w:t>
      </w:r>
    </w:p>
    <w:p w14:paraId="6B12764A">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1）系统漏洞补丁管理</w:t>
      </w:r>
    </w:p>
    <w:p w14:paraId="55659188">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2）帐号和口令管理</w:t>
      </w:r>
    </w:p>
    <w:p w14:paraId="4819B65E">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3）认证、授权策略调整</w:t>
      </w:r>
    </w:p>
    <w:p w14:paraId="58FE932B">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4）网络与服务、进程和启动加固</w:t>
      </w:r>
    </w:p>
    <w:p w14:paraId="5ABC30CC">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5）文件系统权限增强</w:t>
      </w:r>
    </w:p>
    <w:p w14:paraId="62AABB24">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6）访问控制管理</w:t>
      </w:r>
    </w:p>
    <w:p w14:paraId="0BDC4284">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7）通讯协议加固</w:t>
      </w:r>
    </w:p>
    <w:p w14:paraId="06737C5D">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8）日志审核功能增强</w:t>
      </w:r>
    </w:p>
    <w:p w14:paraId="0BC21D68">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9）防DDOS攻击增强</w:t>
      </w:r>
    </w:p>
    <w:p w14:paraId="1CBEB333">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10）剩余信息保护</w:t>
      </w:r>
    </w:p>
    <w:p w14:paraId="73C4D1B9">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11）其他安全配置增强</w:t>
      </w:r>
    </w:p>
    <w:p w14:paraId="2869A734">
      <w:pPr>
        <w:tabs>
          <w:tab w:val="left" w:pos="510"/>
          <w:tab w:val="left" w:pos="540"/>
          <w:tab w:val="left" w:pos="993"/>
        </w:tabs>
        <w:adjustRightInd w:val="0"/>
        <w:spacing w:line="360" w:lineRule="auto"/>
        <w:ind w:left="426" w:leftChars="203"/>
        <w:rPr>
          <w:rFonts w:hint="eastAsia" w:ascii="宋体" w:hAnsi="宋体"/>
        </w:rPr>
      </w:pPr>
      <w:r>
        <w:rPr>
          <w:rFonts w:hint="eastAsia" w:ascii="宋体" w:hAnsi="宋体"/>
          <w:b/>
          <w:sz w:val="24"/>
        </w:rPr>
        <w:t>1.1.5</w:t>
      </w:r>
      <w:r>
        <w:rPr>
          <w:rFonts w:hint="eastAsia" w:ascii="宋体" w:hAnsi="宋体"/>
          <w:b/>
        </w:rPr>
        <w:t>数据库加固内容</w:t>
      </w:r>
    </w:p>
    <w:p w14:paraId="1E2CF14D">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数据库安全加固包含但不限于以下内容：</w:t>
      </w:r>
    </w:p>
    <w:p w14:paraId="5E8BB9AB">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1）漏洞补丁管理</w:t>
      </w:r>
    </w:p>
    <w:p w14:paraId="5E3A3AF8">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2）帐号和口令管理</w:t>
      </w:r>
    </w:p>
    <w:p w14:paraId="68EEE4DF">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3）认证、授权策略调整</w:t>
      </w:r>
    </w:p>
    <w:p w14:paraId="5CD226AD">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4）访问控制管理</w:t>
      </w:r>
    </w:p>
    <w:p w14:paraId="17C1911C">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5）通讯协议加固</w:t>
      </w:r>
    </w:p>
    <w:p w14:paraId="719663AD">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6）日志审核功能增强</w:t>
      </w:r>
    </w:p>
    <w:p w14:paraId="7B626000">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7）其他安全配置增强</w:t>
      </w:r>
    </w:p>
    <w:p w14:paraId="5E895D35">
      <w:pPr>
        <w:tabs>
          <w:tab w:val="left" w:pos="510"/>
          <w:tab w:val="left" w:pos="540"/>
          <w:tab w:val="left" w:pos="993"/>
        </w:tabs>
        <w:adjustRightInd w:val="0"/>
        <w:spacing w:line="360" w:lineRule="auto"/>
        <w:ind w:left="426" w:leftChars="203"/>
        <w:rPr>
          <w:rFonts w:hint="eastAsia" w:ascii="宋体" w:hAnsi="宋体"/>
          <w:b/>
        </w:rPr>
      </w:pPr>
      <w:r>
        <w:rPr>
          <w:rFonts w:hint="eastAsia" w:ascii="宋体" w:hAnsi="宋体"/>
          <w:b/>
          <w:sz w:val="24"/>
        </w:rPr>
        <w:t>1.1.6</w:t>
      </w:r>
      <w:r>
        <w:rPr>
          <w:rFonts w:hint="eastAsia" w:ascii="宋体" w:hAnsi="宋体"/>
          <w:b/>
        </w:rPr>
        <w:t>中间件及常见网络服务加固内容</w:t>
      </w:r>
    </w:p>
    <w:p w14:paraId="6E5AC0AB">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中间件及常见网络服务安全加固包含但不限于以下内容：</w:t>
      </w:r>
    </w:p>
    <w:p w14:paraId="7CEA86A3">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1）漏洞补丁管理</w:t>
      </w:r>
    </w:p>
    <w:p w14:paraId="46FC76E2">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2）帐号和口令管理</w:t>
      </w:r>
    </w:p>
    <w:p w14:paraId="746ED595">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3）认证、授权策略调整</w:t>
      </w:r>
    </w:p>
    <w:p w14:paraId="396EB24B">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4）通讯协议加固</w:t>
      </w:r>
    </w:p>
    <w:p w14:paraId="5279873D">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5）日志审核功能增强</w:t>
      </w:r>
    </w:p>
    <w:p w14:paraId="4710F9B8">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6）其他安全配置增强</w:t>
      </w:r>
    </w:p>
    <w:p w14:paraId="15E07986">
      <w:pPr>
        <w:tabs>
          <w:tab w:val="left" w:pos="510"/>
          <w:tab w:val="left" w:pos="540"/>
          <w:tab w:val="left" w:pos="993"/>
        </w:tabs>
        <w:adjustRightInd w:val="0"/>
        <w:spacing w:line="360" w:lineRule="auto"/>
        <w:ind w:left="426" w:leftChars="203"/>
        <w:rPr>
          <w:rFonts w:hint="eastAsia" w:ascii="宋体" w:hAnsi="宋体"/>
          <w:b/>
        </w:rPr>
      </w:pPr>
      <w:r>
        <w:rPr>
          <w:rFonts w:hint="eastAsia" w:ascii="宋体" w:hAnsi="宋体"/>
          <w:b/>
          <w:sz w:val="24"/>
        </w:rPr>
        <w:t>1.1.7</w:t>
      </w:r>
      <w:r>
        <w:rPr>
          <w:rFonts w:hint="eastAsia" w:ascii="宋体" w:hAnsi="宋体"/>
          <w:b/>
        </w:rPr>
        <w:t>具体安全加固服务工作流程</w:t>
      </w:r>
    </w:p>
    <w:p w14:paraId="65502EB6">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具体安全加固服务工作流程如下：</w:t>
      </w:r>
    </w:p>
    <w:p w14:paraId="68D2E8C7">
      <w:pPr>
        <w:tabs>
          <w:tab w:val="left" w:pos="510"/>
          <w:tab w:val="left" w:pos="540"/>
        </w:tabs>
        <w:adjustRightInd w:val="0"/>
        <w:spacing w:line="360" w:lineRule="auto"/>
        <w:jc w:val="center"/>
        <w:rPr>
          <w:rFonts w:hint="eastAsia" w:ascii="宋体" w:hAnsi="宋体"/>
          <w:szCs w:val="20"/>
        </w:rPr>
      </w:pPr>
      <w:r>
        <w:rPr>
          <w:rFonts w:ascii="宋体" w:hAnsi="宋体"/>
          <w:szCs w:val="20"/>
        </w:rPr>
        <w:drawing>
          <wp:inline distT="0" distB="0" distL="114300" distR="114300">
            <wp:extent cx="5335905" cy="4697730"/>
            <wp:effectExtent l="0" t="0" r="1714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335905" cy="4697730"/>
                    </a:xfrm>
                    <a:prstGeom prst="rect">
                      <a:avLst/>
                    </a:prstGeom>
                    <a:noFill/>
                    <a:ln>
                      <a:noFill/>
                    </a:ln>
                  </pic:spPr>
                </pic:pic>
              </a:graphicData>
            </a:graphic>
          </wp:inline>
        </w:drawing>
      </w:r>
    </w:p>
    <w:p w14:paraId="7E94EFC1">
      <w:pPr>
        <w:tabs>
          <w:tab w:val="left" w:pos="510"/>
          <w:tab w:val="left" w:pos="540"/>
        </w:tabs>
        <w:adjustRightInd w:val="0"/>
        <w:spacing w:line="360" w:lineRule="auto"/>
        <w:ind w:firstLine="420" w:firstLineChars="200"/>
        <w:rPr>
          <w:rFonts w:ascii="宋体" w:hAnsi="宋体" w:cs="仿宋_GB2312"/>
          <w:szCs w:val="28"/>
        </w:rPr>
      </w:pPr>
      <w:r>
        <w:rPr>
          <w:rFonts w:hint="eastAsia" w:ascii="宋体" w:hAnsi="宋体" w:cs="仿宋_GB2312"/>
          <w:szCs w:val="28"/>
        </w:rPr>
        <w:t>对系统的安全加固实施要在了解系统的应用和业务情况的基础上，依据从广泛的安全信息渠道，实时取得系统安全漏洞信息；开展事前的充分论证和实验，并按照规范的实施流程，管理和控制好加固过程中的每一个操作环节，将加固的风险降低到最小程度。确保安全加固行为中固有的不确定性，对业务系统的正常运行带来影响。</w:t>
      </w:r>
    </w:p>
    <w:p w14:paraId="6F33D155">
      <w:pPr>
        <w:tabs>
          <w:tab w:val="left" w:pos="510"/>
          <w:tab w:val="left" w:pos="540"/>
          <w:tab w:val="left" w:pos="993"/>
        </w:tabs>
        <w:adjustRightInd w:val="0"/>
        <w:spacing w:line="360" w:lineRule="auto"/>
        <w:ind w:left="426" w:leftChars="203"/>
        <w:rPr>
          <w:rFonts w:hint="eastAsia" w:ascii="宋体" w:hAnsi="宋体"/>
          <w:b/>
          <w:szCs w:val="21"/>
        </w:rPr>
      </w:pPr>
      <w:r>
        <w:rPr>
          <w:rFonts w:hint="eastAsia" w:ascii="宋体" w:hAnsi="宋体"/>
          <w:b/>
          <w:szCs w:val="21"/>
        </w:rPr>
        <w:t>1.1.8漏洞复验</w:t>
      </w:r>
    </w:p>
    <w:p w14:paraId="5A7DDDA2">
      <w:pPr>
        <w:tabs>
          <w:tab w:val="left" w:pos="510"/>
          <w:tab w:val="left" w:pos="540"/>
        </w:tabs>
        <w:adjustRightInd w:val="0"/>
        <w:spacing w:line="360" w:lineRule="auto"/>
        <w:ind w:firstLine="420" w:firstLineChars="200"/>
        <w:rPr>
          <w:rFonts w:hint="eastAsia"/>
          <w:szCs w:val="21"/>
        </w:rPr>
      </w:pPr>
      <w:r>
        <w:rPr>
          <w:rFonts w:hint="eastAsia"/>
          <w:szCs w:val="21"/>
        </w:rPr>
        <w:t>对于驻场服务工程师将其状态变更为“已修复”的漏洞，服务工程师会对目标资产提供与该漏洞发现时检测策略一致的扫描操作和结果做审核，做出是否完成是否修复的判断。</w:t>
      </w:r>
    </w:p>
    <w:p w14:paraId="727443D3">
      <w:pPr>
        <w:tabs>
          <w:tab w:val="left" w:pos="510"/>
          <w:tab w:val="left" w:pos="540"/>
          <w:tab w:val="left" w:pos="993"/>
        </w:tabs>
        <w:adjustRightInd w:val="0"/>
        <w:spacing w:line="360" w:lineRule="auto"/>
        <w:ind w:left="426" w:leftChars="203"/>
        <w:rPr>
          <w:rFonts w:hint="eastAsia" w:ascii="宋体" w:hAnsi="宋体"/>
          <w:b/>
          <w:szCs w:val="21"/>
        </w:rPr>
      </w:pPr>
      <w:r>
        <w:rPr>
          <w:rFonts w:hint="eastAsia" w:ascii="宋体" w:hAnsi="宋体"/>
          <w:b/>
          <w:szCs w:val="21"/>
        </w:rPr>
        <w:t>1.1.9漏洞生命周期管理</w:t>
      </w:r>
    </w:p>
    <w:p w14:paraId="09972AA0">
      <w:pPr>
        <w:tabs>
          <w:tab w:val="left" w:pos="510"/>
          <w:tab w:val="left" w:pos="540"/>
        </w:tabs>
        <w:adjustRightInd w:val="0"/>
        <w:spacing w:line="360" w:lineRule="auto"/>
        <w:ind w:firstLine="420" w:firstLineChars="200"/>
        <w:rPr>
          <w:rFonts w:hint="eastAsia"/>
          <w:szCs w:val="21"/>
        </w:rPr>
      </w:pPr>
      <w:r>
        <w:rPr>
          <w:rFonts w:hint="eastAsia"/>
          <w:szCs w:val="21"/>
        </w:rPr>
        <w:t>通过本地平台扫描设备的配置策略变更，实现扫描任务集中建立、执行、跟踪处理等功能。将扫描器或者本地扫描探针收集到的漏洞信息进行集中的存储、分类、分析，支持以定制报表的方式对外提供数据的查询功能。</w:t>
      </w:r>
    </w:p>
    <w:p w14:paraId="471CA5BD">
      <w:pPr>
        <w:tabs>
          <w:tab w:val="left" w:pos="510"/>
          <w:tab w:val="left" w:pos="540"/>
          <w:tab w:val="left" w:pos="993"/>
          <w:tab w:val="left" w:pos="1134"/>
        </w:tabs>
        <w:adjustRightInd w:val="0"/>
        <w:spacing w:line="360" w:lineRule="auto"/>
        <w:ind w:left="426" w:leftChars="203"/>
        <w:rPr>
          <w:rFonts w:hint="eastAsia" w:ascii="宋体" w:hAnsi="宋体"/>
          <w:b/>
          <w:szCs w:val="21"/>
        </w:rPr>
      </w:pPr>
      <w:r>
        <w:rPr>
          <w:rFonts w:hint="eastAsia" w:ascii="宋体" w:hAnsi="宋体"/>
          <w:b/>
          <w:szCs w:val="21"/>
        </w:rPr>
        <w:t>1.1.10安全加固服务时效</w:t>
      </w:r>
    </w:p>
    <w:p w14:paraId="0A7A6D46">
      <w:pPr>
        <w:tabs>
          <w:tab w:val="left" w:pos="510"/>
          <w:tab w:val="left" w:pos="540"/>
        </w:tabs>
        <w:adjustRightInd w:val="0"/>
        <w:spacing w:line="360" w:lineRule="auto"/>
        <w:ind w:firstLine="420" w:firstLineChars="200"/>
        <w:rPr>
          <w:rFonts w:hint="eastAsia" w:ascii="宋体" w:hAnsi="宋体"/>
          <w:szCs w:val="21"/>
        </w:rPr>
      </w:pPr>
      <w:r>
        <w:rPr>
          <w:rFonts w:hint="eastAsia" w:ascii="宋体" w:hAnsi="宋体"/>
          <w:szCs w:val="21"/>
        </w:rPr>
        <w:t>严格按照考核评价指标要求，确保漏洞修复率100%，漏洞披露后，在规定时间内完成整改并反馈采购人信息化管理部门，高危漏洞3个工作日内完成、中危漏洞7个工作日完成、低危漏洞一个月内完成，形成漏洞闭环管理。</w:t>
      </w:r>
    </w:p>
    <w:p w14:paraId="22CF3324">
      <w:pPr>
        <w:tabs>
          <w:tab w:val="left" w:pos="510"/>
          <w:tab w:val="left" w:pos="540"/>
          <w:tab w:val="left" w:pos="993"/>
          <w:tab w:val="left" w:pos="1134"/>
        </w:tabs>
        <w:adjustRightInd w:val="0"/>
        <w:spacing w:line="360" w:lineRule="auto"/>
        <w:ind w:left="426" w:leftChars="203"/>
        <w:rPr>
          <w:rFonts w:hint="eastAsia" w:ascii="宋体" w:hAnsi="宋体"/>
          <w:b/>
          <w:szCs w:val="21"/>
        </w:rPr>
      </w:pPr>
      <w:r>
        <w:rPr>
          <w:rFonts w:hint="eastAsia" w:ascii="宋体" w:hAnsi="宋体"/>
          <w:b/>
          <w:szCs w:val="21"/>
        </w:rPr>
        <w:t>1.1.11安全加固服务交付物</w:t>
      </w:r>
    </w:p>
    <w:p w14:paraId="6F99B17C">
      <w:pPr>
        <w:tabs>
          <w:tab w:val="left" w:pos="510"/>
          <w:tab w:val="left" w:pos="540"/>
        </w:tabs>
        <w:adjustRightInd w:val="0"/>
        <w:spacing w:line="360" w:lineRule="auto"/>
        <w:ind w:firstLine="420" w:firstLineChars="200"/>
        <w:rPr>
          <w:szCs w:val="21"/>
        </w:rPr>
      </w:pPr>
      <w:r>
        <w:rPr>
          <w:rFonts w:hint="eastAsia"/>
          <w:szCs w:val="21"/>
        </w:rPr>
        <w:t>安全加固方案实施后，对加固过程的完整记录、对加固系统安全审计结果和有关系统安全管理方面的建议。按季度形成安全加固报告《漏洞处理计划及执行总结报告》。</w:t>
      </w:r>
    </w:p>
    <w:p w14:paraId="747FEC84">
      <w:pPr>
        <w:tabs>
          <w:tab w:val="left" w:pos="510"/>
          <w:tab w:val="left" w:pos="540"/>
        </w:tabs>
        <w:adjustRightInd w:val="0"/>
        <w:spacing w:line="360" w:lineRule="auto"/>
        <w:ind w:left="426" w:leftChars="203"/>
        <w:rPr>
          <w:rFonts w:hint="eastAsia" w:ascii="宋体" w:hAnsi="宋体"/>
          <w:b/>
          <w:szCs w:val="21"/>
        </w:rPr>
      </w:pPr>
      <w:bookmarkStart w:id="6" w:name="_Toc11130"/>
      <w:bookmarkStart w:id="7" w:name="_Toc10095"/>
      <w:bookmarkStart w:id="8" w:name="_Toc6385"/>
      <w:bookmarkStart w:id="9" w:name="_Toc31461"/>
      <w:bookmarkStart w:id="10" w:name="_Toc24014"/>
      <w:r>
        <w:rPr>
          <w:rFonts w:hint="eastAsia" w:ascii="宋体" w:hAnsi="宋体"/>
          <w:b/>
          <w:szCs w:val="21"/>
        </w:rPr>
        <w:t>1.2驻场人员的威胁检测与响应服务</w:t>
      </w:r>
      <w:bookmarkEnd w:id="6"/>
      <w:bookmarkEnd w:id="7"/>
      <w:bookmarkEnd w:id="8"/>
      <w:bookmarkEnd w:id="9"/>
      <w:bookmarkEnd w:id="10"/>
    </w:p>
    <w:p w14:paraId="5C183FD5">
      <w:pPr>
        <w:tabs>
          <w:tab w:val="left" w:pos="510"/>
          <w:tab w:val="left" w:pos="540"/>
        </w:tabs>
        <w:adjustRightInd w:val="0"/>
        <w:spacing w:line="360" w:lineRule="auto"/>
        <w:ind w:firstLine="420" w:firstLineChars="200"/>
        <w:rPr>
          <w:rFonts w:hint="eastAsia"/>
        </w:rPr>
      </w:pPr>
      <w:r>
        <w:rPr>
          <w:rFonts w:hint="eastAsia"/>
        </w:rPr>
        <w:t>威胁检测与响应服务是一种集安全威胁检测设备、分析平台一体安全运营支撑服务。通过入侵检测防御系统、大数据处理平台、驻场服务工程师和服务工程师共同为采购人提供各类安全的威胁检测与响应服务。</w:t>
      </w:r>
    </w:p>
    <w:p w14:paraId="7CF97465">
      <w:pPr>
        <w:tabs>
          <w:tab w:val="left" w:pos="510"/>
          <w:tab w:val="left" w:pos="540"/>
        </w:tabs>
        <w:adjustRightInd w:val="0"/>
        <w:spacing w:line="360" w:lineRule="auto"/>
        <w:ind w:firstLine="420" w:firstLineChars="200"/>
        <w:rPr>
          <w:rFonts w:hint="eastAsia"/>
        </w:rPr>
      </w:pPr>
      <w:r>
        <w:rPr>
          <w:rFonts w:hint="eastAsia"/>
        </w:rPr>
        <w:t>脱敏后的数据，包括漏洞信息、共享威胁情报、异常流量、攻击日志、病毒日志等，经过大数据处理平台和云端服务工程师使用多种数据分析算法模型，进行数据归因关联分析，实时监测网络安全状态，发现各类安全事件，并自动生成工单，并及时进行分析与预警。</w:t>
      </w:r>
    </w:p>
    <w:p w14:paraId="52050355">
      <w:pPr>
        <w:tabs>
          <w:tab w:val="left" w:pos="510"/>
          <w:tab w:val="left" w:pos="540"/>
          <w:tab w:val="left" w:pos="993"/>
          <w:tab w:val="left" w:pos="1134"/>
        </w:tabs>
        <w:adjustRightInd w:val="0"/>
        <w:spacing w:line="360" w:lineRule="auto"/>
        <w:ind w:firstLine="422" w:firstLineChars="200"/>
        <w:rPr>
          <w:rFonts w:hint="eastAsia" w:ascii="宋体" w:hAnsi="宋体"/>
          <w:b/>
        </w:rPr>
      </w:pPr>
      <w:r>
        <w:rPr>
          <w:rFonts w:hint="eastAsia" w:ascii="宋体" w:hAnsi="宋体"/>
          <w:b/>
        </w:rPr>
        <w:t>1.2.1事件定义</w:t>
      </w:r>
    </w:p>
    <w:p w14:paraId="756CAC3C">
      <w:pPr>
        <w:tabs>
          <w:tab w:val="left" w:pos="510"/>
          <w:tab w:val="left" w:pos="540"/>
        </w:tabs>
        <w:adjustRightInd w:val="0"/>
        <w:spacing w:line="360" w:lineRule="auto"/>
        <w:ind w:firstLine="420" w:firstLineChars="200"/>
        <w:rPr>
          <w:rFonts w:hint="eastAsia"/>
        </w:rPr>
      </w:pPr>
      <w:r>
        <w:rPr>
          <w:rFonts w:hint="eastAsia"/>
        </w:rPr>
        <w:t>紧急事件：由于攻击事件导致网络崩溃、系统性能严重下降，已无法提供正常服务。系统或者网络边界出口由于攻击事件原因非正常中断，严重影响采购人使用。公众服务由于攻击事件停止服务或者导致恶劣影响的。</w:t>
      </w:r>
    </w:p>
    <w:p w14:paraId="6B8AAE52">
      <w:pPr>
        <w:tabs>
          <w:tab w:val="left" w:pos="510"/>
          <w:tab w:val="left" w:pos="540"/>
        </w:tabs>
        <w:adjustRightInd w:val="0"/>
        <w:spacing w:line="360" w:lineRule="auto"/>
        <w:ind w:firstLine="420" w:firstLineChars="200"/>
        <w:rPr>
          <w:rFonts w:hint="eastAsia"/>
        </w:rPr>
      </w:pPr>
      <w:r>
        <w:rPr>
          <w:rFonts w:hint="eastAsia"/>
        </w:rPr>
        <w:t>严重事件：采购人内部的业务支持系统由于攻击事件导致不能运转正常不稳定。部分服务由于攻击事件中断，影响采购人正常使用。</w:t>
      </w:r>
    </w:p>
    <w:p w14:paraId="06FE470E">
      <w:pPr>
        <w:tabs>
          <w:tab w:val="left" w:pos="510"/>
          <w:tab w:val="left" w:pos="540"/>
        </w:tabs>
        <w:adjustRightInd w:val="0"/>
        <w:spacing w:line="360" w:lineRule="auto"/>
        <w:ind w:firstLine="420" w:firstLineChars="200"/>
        <w:rPr>
          <w:rFonts w:hint="eastAsia"/>
        </w:rPr>
      </w:pPr>
      <w:r>
        <w:rPr>
          <w:rFonts w:hint="eastAsia"/>
        </w:rPr>
        <w:t>一般事件：由于攻击事件导致系统出现故障，但不影响采购人正常使用。</w:t>
      </w:r>
    </w:p>
    <w:p w14:paraId="6E8ADDD5">
      <w:pPr>
        <w:tabs>
          <w:tab w:val="left" w:pos="510"/>
          <w:tab w:val="left" w:pos="540"/>
          <w:tab w:val="left" w:pos="993"/>
          <w:tab w:val="left" w:pos="1134"/>
        </w:tabs>
        <w:adjustRightInd w:val="0"/>
        <w:spacing w:line="360" w:lineRule="auto"/>
        <w:ind w:firstLine="422" w:firstLineChars="200"/>
        <w:rPr>
          <w:rFonts w:hint="eastAsia" w:ascii="宋体" w:hAnsi="宋体"/>
          <w:b/>
        </w:rPr>
      </w:pPr>
      <w:r>
        <w:rPr>
          <w:rFonts w:hint="eastAsia" w:ascii="宋体" w:hAnsi="宋体"/>
          <w:b/>
        </w:rPr>
        <w:t>1.2.2事件预警流程</w:t>
      </w:r>
    </w:p>
    <w:p w14:paraId="662A7F2B">
      <w:pPr>
        <w:tabs>
          <w:tab w:val="left" w:pos="510"/>
          <w:tab w:val="left" w:pos="540"/>
        </w:tabs>
        <w:adjustRightInd w:val="0"/>
        <w:spacing w:line="360" w:lineRule="auto"/>
        <w:ind w:firstLine="420" w:firstLineChars="200"/>
        <w:rPr>
          <w:rFonts w:hint="eastAsia"/>
        </w:rPr>
      </w:pPr>
      <w:r>
        <w:rPr>
          <w:rFonts w:hint="eastAsia"/>
        </w:rPr>
        <w:t>通过整合各种渠道，当获知有紧急重大威胁事件发生时，服务工程师应当立即对威胁事件进行分析，同时其他服务工程师需开展研究工作。确定威胁影响范围及等级后，服务工程师将情况反馈给采购人，驻场服务工程师同时进行分析工具规则检测升级，以保证快速发现威胁行为。</w:t>
      </w:r>
    </w:p>
    <w:p w14:paraId="55B852F4">
      <w:pPr>
        <w:tabs>
          <w:tab w:val="left" w:pos="510"/>
          <w:tab w:val="left" w:pos="540"/>
        </w:tabs>
        <w:adjustRightInd w:val="0"/>
        <w:spacing w:line="360" w:lineRule="auto"/>
        <w:ind w:firstLine="420" w:firstLineChars="200"/>
        <w:rPr>
          <w:rFonts w:hint="eastAsia"/>
        </w:rPr>
      </w:pPr>
      <w:r>
        <w:rPr>
          <w:rFonts w:hint="eastAsia"/>
        </w:rPr>
        <w:t>根据重要威胁预警的实际情况，二线安全运营专家提供修补建议，一线驻场工程师完成相应威胁的修补工作，降低安全风险。</w:t>
      </w:r>
    </w:p>
    <w:p w14:paraId="1DCEF5E9">
      <w:pPr>
        <w:tabs>
          <w:tab w:val="left" w:pos="510"/>
          <w:tab w:val="left" w:pos="540"/>
          <w:tab w:val="left" w:pos="993"/>
          <w:tab w:val="left" w:pos="1134"/>
        </w:tabs>
        <w:adjustRightInd w:val="0"/>
        <w:spacing w:line="360" w:lineRule="auto"/>
        <w:ind w:firstLine="422" w:firstLineChars="200"/>
        <w:rPr>
          <w:rFonts w:hint="eastAsia" w:ascii="宋体" w:hAnsi="宋体"/>
          <w:b/>
        </w:rPr>
      </w:pPr>
      <w:r>
        <w:rPr>
          <w:rFonts w:hint="eastAsia" w:ascii="宋体" w:hAnsi="宋体"/>
          <w:b/>
        </w:rPr>
        <w:t>1.2.3事件响应流程</w:t>
      </w:r>
    </w:p>
    <w:p w14:paraId="5756A6E5">
      <w:pPr>
        <w:tabs>
          <w:tab w:val="left" w:pos="510"/>
          <w:tab w:val="left" w:pos="540"/>
        </w:tabs>
        <w:adjustRightInd w:val="0"/>
        <w:spacing w:line="360" w:lineRule="auto"/>
        <w:ind w:firstLine="420" w:firstLineChars="200"/>
        <w:rPr>
          <w:rFonts w:hint="eastAsia"/>
        </w:rPr>
      </w:pPr>
      <w:r>
        <w:rPr>
          <w:rFonts w:hint="eastAsia"/>
        </w:rPr>
        <w:t>对于各种安全事件发生后，首先由一线驻场工程师提供解决方案，当一线驻场工程师无法解决时，服务工程师通过远程服务方式解决安全事件。当服务工程师无法解决时，其他服务工程师通过远程或本地服务方式解决安全事件。</w:t>
      </w:r>
    </w:p>
    <w:p w14:paraId="6ABD6D80">
      <w:pPr>
        <w:tabs>
          <w:tab w:val="left" w:pos="510"/>
          <w:tab w:val="left" w:pos="540"/>
          <w:tab w:val="left" w:pos="993"/>
          <w:tab w:val="left" w:pos="1134"/>
        </w:tabs>
        <w:adjustRightInd w:val="0"/>
        <w:spacing w:line="360" w:lineRule="auto"/>
        <w:ind w:firstLine="422" w:firstLineChars="200"/>
        <w:rPr>
          <w:rFonts w:hint="eastAsia" w:ascii="宋体" w:hAnsi="宋体"/>
          <w:b/>
        </w:rPr>
      </w:pPr>
      <w:r>
        <w:rPr>
          <w:rFonts w:hint="eastAsia" w:ascii="宋体" w:hAnsi="宋体"/>
          <w:b/>
        </w:rPr>
        <w:t>1.2.4事件响应时间表</w:t>
      </w:r>
    </w:p>
    <w:tbl>
      <w:tblPr>
        <w:tblStyle w:val="6"/>
        <w:tblW w:w="8665" w:type="dxa"/>
        <w:jc w:val="cente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108" w:type="dxa"/>
          <w:bottom w:w="0" w:type="dxa"/>
          <w:right w:w="108" w:type="dxa"/>
        </w:tblCellMar>
      </w:tblPr>
      <w:tblGrid>
        <w:gridCol w:w="940"/>
        <w:gridCol w:w="1401"/>
        <w:gridCol w:w="1387"/>
        <w:gridCol w:w="1395"/>
        <w:gridCol w:w="3542"/>
      </w:tblGrid>
      <w:tr w14:paraId="5D8109B3">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rPr>
          <w:trHeight w:val="448" w:hRule="atLeast"/>
          <w:jc w:val="center"/>
        </w:trPr>
        <w:tc>
          <w:tcPr>
            <w:tcW w:w="940" w:type="dxa"/>
            <w:tcBorders>
              <w:top w:val="single" w:color="auto" w:sz="4" w:space="0"/>
              <w:left w:val="single" w:color="auto" w:sz="4" w:space="0"/>
              <w:bottom w:val="nil"/>
              <w:right w:val="nil"/>
            </w:tcBorders>
            <w:shd w:val="clear" w:color="auto" w:fill="FFFFFF"/>
            <w:noWrap w:val="0"/>
            <w:vAlign w:val="center"/>
          </w:tcPr>
          <w:p w14:paraId="5905D930">
            <w:pPr>
              <w:jc w:val="center"/>
              <w:rPr>
                <w:rFonts w:ascii="宋体" w:hAnsi="宋体" w:cs="宋体"/>
                <w:b/>
                <w:bCs/>
                <w:iCs/>
                <w:kern w:val="0"/>
              </w:rPr>
            </w:pPr>
            <w:r>
              <w:rPr>
                <w:rFonts w:hint="eastAsia" w:ascii="宋体" w:hAnsi="宋体" w:cs="宋体"/>
                <w:b/>
                <w:bCs/>
                <w:iCs/>
                <w:kern w:val="0"/>
              </w:rPr>
              <w:t>告警等级</w:t>
            </w:r>
          </w:p>
        </w:tc>
        <w:tc>
          <w:tcPr>
            <w:tcW w:w="1401" w:type="dxa"/>
            <w:tcBorders>
              <w:top w:val="single" w:color="auto" w:sz="4" w:space="0"/>
              <w:left w:val="single" w:color="auto" w:sz="4" w:space="0"/>
              <w:bottom w:val="single" w:color="auto" w:sz="4" w:space="0"/>
              <w:right w:val="nil"/>
            </w:tcBorders>
            <w:shd w:val="clear" w:color="auto" w:fill="FFFFFF"/>
            <w:noWrap w:val="0"/>
            <w:vAlign w:val="center"/>
          </w:tcPr>
          <w:p w14:paraId="2B7EB947">
            <w:pPr>
              <w:jc w:val="center"/>
              <w:rPr>
                <w:rFonts w:ascii="宋体" w:hAnsi="宋体" w:cs="宋体"/>
                <w:b/>
                <w:bCs/>
                <w:kern w:val="0"/>
              </w:rPr>
            </w:pPr>
            <w:r>
              <w:rPr>
                <w:rFonts w:hint="eastAsia" w:ascii="宋体" w:hAnsi="宋体" w:cs="宋体"/>
                <w:b/>
                <w:bCs/>
                <w:kern w:val="0"/>
              </w:rPr>
              <w:t>巡检告警</w:t>
            </w:r>
          </w:p>
        </w:tc>
        <w:tc>
          <w:tcPr>
            <w:tcW w:w="1387" w:type="dxa"/>
            <w:tcBorders>
              <w:top w:val="single" w:color="auto" w:sz="4" w:space="0"/>
              <w:left w:val="single" w:color="auto" w:sz="4" w:space="0"/>
              <w:bottom w:val="single" w:color="auto" w:sz="4" w:space="0"/>
              <w:right w:val="nil"/>
            </w:tcBorders>
            <w:shd w:val="clear" w:color="auto" w:fill="FFFFFF"/>
            <w:noWrap w:val="0"/>
            <w:vAlign w:val="center"/>
          </w:tcPr>
          <w:p w14:paraId="6E41F386">
            <w:pPr>
              <w:jc w:val="center"/>
              <w:rPr>
                <w:rFonts w:ascii="宋体" w:hAnsi="宋体" w:cs="宋体"/>
                <w:b/>
                <w:bCs/>
                <w:kern w:val="0"/>
              </w:rPr>
            </w:pPr>
            <w:r>
              <w:rPr>
                <w:rFonts w:hint="eastAsia" w:ascii="宋体" w:hAnsi="宋体" w:cs="宋体"/>
                <w:b/>
                <w:bCs/>
                <w:kern w:val="0"/>
              </w:rPr>
              <w:t>网络攻击告警</w:t>
            </w:r>
          </w:p>
        </w:tc>
        <w:tc>
          <w:tcPr>
            <w:tcW w:w="1395" w:type="dxa"/>
            <w:tcBorders>
              <w:top w:val="single" w:color="auto" w:sz="4" w:space="0"/>
              <w:left w:val="single" w:color="auto" w:sz="4" w:space="0"/>
              <w:bottom w:val="single" w:color="auto" w:sz="4" w:space="0"/>
              <w:right w:val="nil"/>
            </w:tcBorders>
            <w:shd w:val="clear" w:color="auto" w:fill="FFFFFF"/>
            <w:noWrap w:val="0"/>
            <w:vAlign w:val="center"/>
          </w:tcPr>
          <w:p w14:paraId="4573EEDD">
            <w:pPr>
              <w:jc w:val="center"/>
              <w:rPr>
                <w:rFonts w:ascii="宋体" w:hAnsi="宋体" w:cs="宋体"/>
                <w:b/>
                <w:bCs/>
                <w:kern w:val="0"/>
              </w:rPr>
            </w:pPr>
            <w:r>
              <w:rPr>
                <w:rFonts w:hint="eastAsia" w:ascii="宋体" w:hAnsi="宋体" w:cs="宋体"/>
                <w:b/>
                <w:bCs/>
                <w:kern w:val="0"/>
              </w:rPr>
              <w:t>威胁情报告警</w:t>
            </w:r>
          </w:p>
        </w:tc>
        <w:tc>
          <w:tcPr>
            <w:tcW w:w="3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8BDE9C">
            <w:pPr>
              <w:jc w:val="center"/>
              <w:rPr>
                <w:rFonts w:ascii="宋体" w:hAnsi="宋体" w:cs="宋体"/>
                <w:b/>
                <w:bCs/>
                <w:kern w:val="0"/>
              </w:rPr>
            </w:pPr>
            <w:r>
              <w:rPr>
                <w:rFonts w:hint="eastAsia" w:ascii="宋体" w:hAnsi="宋体" w:cs="宋体"/>
                <w:b/>
                <w:bCs/>
                <w:kern w:val="0"/>
              </w:rPr>
              <w:t>说明</w:t>
            </w:r>
          </w:p>
        </w:tc>
      </w:tr>
      <w:tr w14:paraId="136549EF">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rPr>
          <w:trHeight w:val="411" w:hRule="atLeast"/>
          <w:jc w:val="center"/>
        </w:trPr>
        <w:tc>
          <w:tcPr>
            <w:tcW w:w="940" w:type="dxa"/>
            <w:tcBorders>
              <w:top w:val="single" w:color="auto" w:sz="4" w:space="0"/>
              <w:left w:val="single" w:color="auto" w:sz="4" w:space="0"/>
              <w:bottom w:val="nil"/>
              <w:right w:val="single" w:color="auto" w:sz="4" w:space="0"/>
            </w:tcBorders>
            <w:shd w:val="clear" w:color="auto" w:fill="FFFFFF"/>
            <w:noWrap w:val="0"/>
            <w:vAlign w:val="center"/>
          </w:tcPr>
          <w:p w14:paraId="76EA4140">
            <w:pPr>
              <w:jc w:val="center"/>
              <w:rPr>
                <w:rFonts w:ascii="宋体" w:hAnsi="宋体" w:cs="宋体"/>
                <w:iCs/>
                <w:kern w:val="0"/>
              </w:rPr>
            </w:pPr>
            <w:r>
              <w:rPr>
                <w:rFonts w:hint="eastAsia" w:ascii="宋体" w:hAnsi="宋体" w:cs="宋体"/>
                <w:iCs/>
                <w:kern w:val="0"/>
              </w:rPr>
              <w:t>T1</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281B1FA5">
            <w:pPr>
              <w:jc w:val="center"/>
              <w:rPr>
                <w:rFonts w:ascii="宋体" w:hAnsi="宋体" w:cs="宋体"/>
                <w:kern w:val="0"/>
              </w:rPr>
            </w:pPr>
            <w:r>
              <w:rPr>
                <w:rFonts w:hint="eastAsia" w:ascii="宋体" w:hAnsi="宋体" w:cs="宋体"/>
                <w:kern w:val="0"/>
              </w:rPr>
              <w:t>0.5H</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4EF4A0E">
            <w:pPr>
              <w:jc w:val="center"/>
              <w:rPr>
                <w:rFonts w:ascii="宋体" w:hAnsi="宋体" w:cs="宋体"/>
                <w:kern w:val="0"/>
              </w:rPr>
            </w:pPr>
            <w:r>
              <w:rPr>
                <w:rFonts w:hint="eastAsia" w:ascii="宋体" w:hAnsi="宋体" w:cs="宋体"/>
                <w:kern w:val="0"/>
              </w:rPr>
              <w:t>0.5H</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47CED36">
            <w:pPr>
              <w:jc w:val="center"/>
              <w:rPr>
                <w:rFonts w:ascii="宋体" w:hAnsi="宋体" w:cs="宋体"/>
                <w:kern w:val="0"/>
              </w:rPr>
            </w:pPr>
            <w:r>
              <w:rPr>
                <w:rFonts w:hint="eastAsia" w:ascii="宋体" w:hAnsi="宋体" w:cs="宋体"/>
                <w:kern w:val="0"/>
              </w:rPr>
              <w:t>0.5H</w:t>
            </w:r>
          </w:p>
        </w:tc>
        <w:tc>
          <w:tcPr>
            <w:tcW w:w="3542" w:type="dxa"/>
            <w:vMerge w:val="restart"/>
            <w:tcBorders>
              <w:top w:val="single" w:color="auto" w:sz="4" w:space="0"/>
              <w:left w:val="single" w:color="auto" w:sz="4" w:space="0"/>
              <w:bottom w:val="single" w:color="auto" w:sz="4" w:space="0"/>
              <w:right w:val="single" w:color="auto" w:sz="4" w:space="0"/>
            </w:tcBorders>
            <w:noWrap w:val="0"/>
            <w:vAlign w:val="top"/>
          </w:tcPr>
          <w:p w14:paraId="66073A40">
            <w:pPr>
              <w:jc w:val="left"/>
              <w:rPr>
                <w:rFonts w:ascii="宋体" w:hAnsi="宋体" w:cs="宋体"/>
                <w:kern w:val="0"/>
              </w:rPr>
            </w:pPr>
            <w:r>
              <w:rPr>
                <w:rFonts w:hint="eastAsia" w:ascii="宋体" w:hAnsi="宋体" w:cs="宋体"/>
                <w:kern w:val="0"/>
              </w:rPr>
              <w:t>（1）告警起始时间以云端托管平台告警为准</w:t>
            </w:r>
          </w:p>
          <w:p w14:paraId="58C69C15">
            <w:pPr>
              <w:jc w:val="left"/>
              <w:rPr>
                <w:rFonts w:ascii="宋体" w:hAnsi="宋体" w:cs="宋体"/>
                <w:kern w:val="0"/>
              </w:rPr>
            </w:pPr>
            <w:r>
              <w:rPr>
                <w:rFonts w:hint="eastAsia" w:ascii="宋体" w:hAnsi="宋体" w:cs="宋体"/>
                <w:kern w:val="0"/>
              </w:rPr>
              <w:t>（2）告警研判后需做研判处置，研判率以云端托管平台为准</w:t>
            </w:r>
          </w:p>
          <w:p w14:paraId="700F6C63">
            <w:pPr>
              <w:jc w:val="left"/>
              <w:rPr>
                <w:rFonts w:ascii="宋体" w:hAnsi="宋体" w:cs="宋体"/>
                <w:kern w:val="0"/>
              </w:rPr>
            </w:pPr>
            <w:r>
              <w:rPr>
                <w:rFonts w:hint="eastAsia" w:ascii="宋体" w:hAnsi="宋体" w:cs="宋体"/>
                <w:kern w:val="0"/>
              </w:rPr>
              <w:t>（3）T1、T2、T3告警需发通告和事件报告，T4告警按周期交付</w:t>
            </w:r>
          </w:p>
        </w:tc>
      </w:tr>
      <w:tr w14:paraId="2F78BDD7">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rPr>
          <w:trHeight w:val="411" w:hRule="atLeast"/>
          <w:jc w:val="center"/>
        </w:trPr>
        <w:tc>
          <w:tcPr>
            <w:tcW w:w="940" w:type="dxa"/>
            <w:tcBorders>
              <w:top w:val="single" w:color="auto" w:sz="4" w:space="0"/>
              <w:left w:val="single" w:color="auto" w:sz="4" w:space="0"/>
              <w:bottom w:val="nil"/>
              <w:right w:val="single" w:color="auto" w:sz="4" w:space="0"/>
            </w:tcBorders>
            <w:shd w:val="clear" w:color="auto" w:fill="FFFFFF"/>
            <w:noWrap w:val="0"/>
            <w:vAlign w:val="center"/>
          </w:tcPr>
          <w:p w14:paraId="749467FB">
            <w:pPr>
              <w:jc w:val="center"/>
              <w:rPr>
                <w:rFonts w:ascii="宋体" w:hAnsi="宋体" w:cs="宋体"/>
                <w:iCs/>
                <w:kern w:val="0"/>
              </w:rPr>
            </w:pPr>
            <w:r>
              <w:rPr>
                <w:rFonts w:hint="eastAsia" w:ascii="宋体" w:hAnsi="宋体" w:cs="宋体"/>
                <w:iCs/>
                <w:kern w:val="0"/>
              </w:rPr>
              <w:t>T2</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7459E0AE">
            <w:pPr>
              <w:jc w:val="center"/>
              <w:rPr>
                <w:rFonts w:ascii="宋体" w:hAnsi="宋体" w:cs="宋体"/>
                <w:kern w:val="0"/>
              </w:rPr>
            </w:pPr>
            <w:r>
              <w:rPr>
                <w:rFonts w:hint="eastAsia" w:ascii="宋体" w:hAnsi="宋体" w:cs="宋体"/>
                <w:kern w:val="0"/>
              </w:rPr>
              <w:t>0.5H</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54DD18C3">
            <w:pPr>
              <w:jc w:val="center"/>
              <w:rPr>
                <w:rFonts w:ascii="宋体" w:hAnsi="宋体" w:cs="宋体"/>
                <w:kern w:val="0"/>
              </w:rPr>
            </w:pPr>
            <w:r>
              <w:rPr>
                <w:rFonts w:hint="eastAsia" w:ascii="宋体" w:hAnsi="宋体" w:cs="宋体"/>
                <w:kern w:val="0"/>
              </w:rPr>
              <w:t>0.5H</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5C4F8D3">
            <w:pPr>
              <w:jc w:val="center"/>
              <w:rPr>
                <w:rFonts w:ascii="宋体" w:hAnsi="宋体" w:cs="宋体"/>
                <w:kern w:val="0"/>
              </w:rPr>
            </w:pPr>
            <w:r>
              <w:rPr>
                <w:rFonts w:hint="eastAsia" w:ascii="宋体" w:hAnsi="宋体" w:cs="宋体"/>
                <w:kern w:val="0"/>
              </w:rPr>
              <w:t>0.5H</w:t>
            </w:r>
          </w:p>
        </w:tc>
        <w:tc>
          <w:tcPr>
            <w:tcW w:w="3542" w:type="dxa"/>
            <w:vMerge w:val="continue"/>
            <w:tcBorders>
              <w:top w:val="single" w:color="auto" w:sz="4" w:space="0"/>
              <w:left w:val="single" w:color="auto" w:sz="4" w:space="0"/>
            </w:tcBorders>
            <w:noWrap w:val="0"/>
            <w:vAlign w:val="top"/>
          </w:tcPr>
          <w:p w14:paraId="0044CEF3">
            <w:pPr>
              <w:rPr>
                <w:rFonts w:ascii="宋体" w:hAnsi="宋体" w:cs="宋体"/>
                <w:kern w:val="0"/>
              </w:rPr>
            </w:pPr>
          </w:p>
        </w:tc>
      </w:tr>
      <w:tr w14:paraId="553EC617">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rPr>
          <w:trHeight w:val="411" w:hRule="atLeast"/>
          <w:jc w:val="center"/>
        </w:trPr>
        <w:tc>
          <w:tcPr>
            <w:tcW w:w="940" w:type="dxa"/>
            <w:tcBorders>
              <w:top w:val="single" w:color="auto" w:sz="4" w:space="0"/>
              <w:left w:val="single" w:color="auto" w:sz="4" w:space="0"/>
              <w:bottom w:val="nil"/>
              <w:right w:val="single" w:color="auto" w:sz="4" w:space="0"/>
            </w:tcBorders>
            <w:shd w:val="clear" w:color="auto" w:fill="FFFFFF"/>
            <w:noWrap w:val="0"/>
            <w:vAlign w:val="center"/>
          </w:tcPr>
          <w:p w14:paraId="10F5DFA1">
            <w:pPr>
              <w:jc w:val="center"/>
              <w:rPr>
                <w:rFonts w:ascii="宋体" w:hAnsi="宋体" w:cs="宋体"/>
                <w:iCs/>
                <w:kern w:val="0"/>
              </w:rPr>
            </w:pPr>
            <w:r>
              <w:rPr>
                <w:rFonts w:hint="eastAsia" w:ascii="宋体" w:hAnsi="宋体" w:cs="宋体"/>
                <w:iCs/>
                <w:kern w:val="0"/>
              </w:rPr>
              <w:t>T3</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77CCCEC7">
            <w:pPr>
              <w:jc w:val="center"/>
              <w:rPr>
                <w:rFonts w:ascii="宋体" w:hAnsi="宋体" w:cs="宋体"/>
                <w:kern w:val="0"/>
              </w:rPr>
            </w:pPr>
            <w:r>
              <w:rPr>
                <w:rFonts w:hint="eastAsia" w:ascii="宋体" w:hAnsi="宋体" w:cs="宋体"/>
                <w:kern w:val="0"/>
              </w:rPr>
              <w:t>1H</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B2580FA">
            <w:pPr>
              <w:jc w:val="center"/>
              <w:rPr>
                <w:rFonts w:ascii="宋体" w:hAnsi="宋体" w:cs="宋体"/>
                <w:kern w:val="0"/>
              </w:rPr>
            </w:pPr>
            <w:r>
              <w:rPr>
                <w:rFonts w:hint="eastAsia" w:ascii="宋体" w:hAnsi="宋体" w:cs="宋体"/>
                <w:kern w:val="0"/>
              </w:rPr>
              <w:t>1H</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A22E96B">
            <w:pPr>
              <w:jc w:val="center"/>
              <w:rPr>
                <w:rFonts w:ascii="宋体" w:hAnsi="宋体" w:cs="宋体"/>
                <w:kern w:val="0"/>
              </w:rPr>
            </w:pPr>
            <w:r>
              <w:rPr>
                <w:rFonts w:hint="eastAsia" w:ascii="宋体" w:hAnsi="宋体" w:cs="宋体"/>
                <w:kern w:val="0"/>
              </w:rPr>
              <w:t>1H</w:t>
            </w:r>
          </w:p>
        </w:tc>
        <w:tc>
          <w:tcPr>
            <w:tcW w:w="3542" w:type="dxa"/>
            <w:vMerge w:val="continue"/>
            <w:tcBorders>
              <w:left w:val="single" w:color="auto" w:sz="4" w:space="0"/>
            </w:tcBorders>
            <w:noWrap w:val="0"/>
            <w:vAlign w:val="top"/>
          </w:tcPr>
          <w:p w14:paraId="2BD5FC47">
            <w:pPr>
              <w:rPr>
                <w:rFonts w:ascii="宋体" w:hAnsi="宋体" w:cs="宋体"/>
                <w:kern w:val="0"/>
              </w:rPr>
            </w:pPr>
          </w:p>
        </w:tc>
      </w:tr>
      <w:tr w14:paraId="54784215">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Ex>
        <w:trPr>
          <w:trHeight w:val="673"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D57F3C">
            <w:pPr>
              <w:jc w:val="center"/>
              <w:rPr>
                <w:rFonts w:ascii="宋体" w:hAnsi="宋体" w:cs="宋体"/>
                <w:iCs/>
                <w:kern w:val="0"/>
              </w:rPr>
            </w:pPr>
            <w:r>
              <w:rPr>
                <w:rFonts w:hint="eastAsia" w:ascii="宋体" w:hAnsi="宋体" w:cs="宋体"/>
                <w:iCs/>
                <w:kern w:val="0"/>
              </w:rPr>
              <w:t>T4</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6BDBEE4A">
            <w:pPr>
              <w:jc w:val="center"/>
              <w:rPr>
                <w:rFonts w:ascii="宋体" w:hAnsi="宋体" w:cs="宋体"/>
                <w:kern w:val="0"/>
              </w:rPr>
            </w:pPr>
            <w:r>
              <w:rPr>
                <w:rFonts w:hint="eastAsia" w:ascii="宋体" w:hAnsi="宋体" w:cs="宋体"/>
                <w:kern w:val="0"/>
              </w:rPr>
              <w:t>8H</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DA32E78">
            <w:pPr>
              <w:jc w:val="center"/>
              <w:rPr>
                <w:rFonts w:ascii="宋体" w:hAnsi="宋体" w:cs="宋体"/>
                <w:kern w:val="0"/>
              </w:rPr>
            </w:pPr>
            <w:r>
              <w:rPr>
                <w:rFonts w:hint="eastAsia" w:ascii="宋体" w:hAnsi="宋体" w:cs="宋体"/>
                <w:kern w:val="0"/>
              </w:rPr>
              <w:t>周期交付</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0A48B72">
            <w:pPr>
              <w:jc w:val="center"/>
              <w:rPr>
                <w:rFonts w:ascii="宋体" w:hAnsi="宋体" w:cs="宋体"/>
                <w:kern w:val="0"/>
              </w:rPr>
            </w:pPr>
            <w:r>
              <w:rPr>
                <w:rFonts w:hint="eastAsia" w:ascii="宋体" w:hAnsi="宋体" w:cs="宋体"/>
                <w:kern w:val="0"/>
              </w:rPr>
              <w:t>周期交付</w:t>
            </w:r>
          </w:p>
        </w:tc>
        <w:tc>
          <w:tcPr>
            <w:tcW w:w="3542" w:type="dxa"/>
            <w:vMerge w:val="continue"/>
            <w:tcBorders>
              <w:left w:val="single" w:color="auto" w:sz="4" w:space="0"/>
            </w:tcBorders>
            <w:noWrap w:val="0"/>
            <w:vAlign w:val="top"/>
          </w:tcPr>
          <w:p w14:paraId="292DC21F">
            <w:pPr>
              <w:rPr>
                <w:rFonts w:ascii="宋体" w:hAnsi="宋体" w:cs="宋体"/>
                <w:kern w:val="0"/>
              </w:rPr>
            </w:pPr>
          </w:p>
        </w:tc>
      </w:tr>
    </w:tbl>
    <w:p w14:paraId="3A812F35">
      <w:pPr>
        <w:tabs>
          <w:tab w:val="left" w:pos="510"/>
          <w:tab w:val="left" w:pos="540"/>
        </w:tabs>
        <w:adjustRightInd w:val="0"/>
        <w:spacing w:line="360" w:lineRule="auto"/>
        <w:ind w:firstLine="210" w:firstLineChars="100"/>
        <w:rPr>
          <w:rFonts w:hint="eastAsia" w:ascii="宋体" w:hAnsi="宋体"/>
          <w:lang w:val="en-GB"/>
        </w:rPr>
      </w:pPr>
      <w:r>
        <w:rPr>
          <w:rFonts w:hint="eastAsia" w:ascii="宋体" w:hAnsi="宋体"/>
          <w:lang w:val="en-GB"/>
        </w:rPr>
        <w:t>（备注：告警级别定义）</w:t>
      </w:r>
    </w:p>
    <w:p w14:paraId="277D1037">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T1：成功且失陷的危急类网络攻击、APT事件，批量勒索事件、C&amp;C控制事件，如webshell利用、反弹shell、Cobalt Strike载荷攻击、隧道攻击等获取系统或内网权限的攻击事件。</w:t>
      </w:r>
    </w:p>
    <w:p w14:paraId="0B2CB114">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T2：危急类的恶意软件、成功但未失陷的外部高风险类网络攻击事件，如外部成功的SQL注入攻击、任意文件上传、RCE、暴破攻击、管理弱口令、大量源码泄露、任意文件读取等获取数据或业务权限的攻击事件。</w:t>
      </w:r>
    </w:p>
    <w:p w14:paraId="1EFF2D73">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T3：高风险类的恶意软件、成功但未失陷的内部高中风险类、外部中风险类网络攻击事件，如内部成功的SQL注入攻击、管理员弱口令、存储型XSS、未授权、SSRF、其他中高危的敏感信息泄露等影响数据和业务安全的威胁事件。</w:t>
      </w:r>
    </w:p>
    <w:p w14:paraId="03D75C16">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T4：中低风险类的恶意软件、成功但未失陷的低风险类及未成功的网络攻击事件，如普通弱口令、目录遍历、其他低危的敏感信息泄露等影响数据和业务安全的威胁事件。</w:t>
      </w:r>
    </w:p>
    <w:p w14:paraId="077F15F8">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对于安全事件，驻场服务工程师需在1个小时内到达现场，采用本地服务方式帮助采购人处理安全事件。</w:t>
      </w:r>
    </w:p>
    <w:p w14:paraId="461F8C94">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实时监测网络安全状态，对病毒事件自动化生成工单,及时进行分析与预警。病毒类型包含勒索型、流行病毒、挖矿型、蠕虫型、外发DOS型、C&amp;C访问型、文件感染型、木马型。</w:t>
      </w:r>
    </w:p>
    <w:p w14:paraId="763408C4">
      <w:pPr>
        <w:tabs>
          <w:tab w:val="left" w:pos="510"/>
          <w:tab w:val="left" w:pos="540"/>
          <w:tab w:val="left" w:pos="993"/>
          <w:tab w:val="left" w:pos="1134"/>
        </w:tabs>
        <w:adjustRightInd w:val="0"/>
        <w:spacing w:line="360" w:lineRule="auto"/>
        <w:ind w:firstLine="422" w:firstLineChars="200"/>
        <w:rPr>
          <w:rFonts w:hint="eastAsia" w:ascii="宋体" w:hAnsi="宋体"/>
          <w:b/>
        </w:rPr>
      </w:pPr>
      <w:bookmarkStart w:id="11" w:name="_Toc9516"/>
      <w:r>
        <w:rPr>
          <w:rFonts w:hint="eastAsia" w:ascii="宋体" w:hAnsi="宋体"/>
          <w:b/>
        </w:rPr>
        <w:t>1.2.5威胁检测与响应安全策略优化</w:t>
      </w:r>
      <w:bookmarkEnd w:id="11"/>
    </w:p>
    <w:p w14:paraId="174AE4F4">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采购人现有安全设备包括IPS、WAF、VPN、流量分析仪与防火墙等，借助现有安全设备，从网络会话、业务应用等层级基于特征规则匹配进行统一分析，与安全运营平台威胁检测模块对接，实时进行威胁检测数据采集分析，实现已知威胁检测。同时，鉴于威胁分析的结果，驻场服务工程师定期针对现有网络安全设备的策略配置巡检及优化，配置适当的防护策略，全面提升边界、网络、应用安全防护强度，进一步保障业务安全稳定运行。</w:t>
      </w:r>
    </w:p>
    <w:p w14:paraId="31325AFB">
      <w:pPr>
        <w:tabs>
          <w:tab w:val="left" w:pos="510"/>
          <w:tab w:val="left" w:pos="540"/>
          <w:tab w:val="left" w:pos="993"/>
          <w:tab w:val="left" w:pos="1134"/>
        </w:tabs>
        <w:adjustRightInd w:val="0"/>
        <w:spacing w:line="360" w:lineRule="auto"/>
        <w:ind w:firstLine="422" w:firstLineChars="200"/>
        <w:rPr>
          <w:rFonts w:hint="eastAsia" w:ascii="宋体" w:hAnsi="宋体"/>
          <w:b/>
        </w:rPr>
      </w:pPr>
      <w:bookmarkStart w:id="12" w:name="_Toc29866"/>
      <w:r>
        <w:rPr>
          <w:rFonts w:hint="eastAsia" w:ascii="宋体" w:hAnsi="宋体"/>
          <w:b/>
        </w:rPr>
        <w:t>1.2.6威胁检测与响应服务流程</w:t>
      </w:r>
      <w:bookmarkEnd w:id="12"/>
    </w:p>
    <w:p w14:paraId="580EF0F0">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分为四个阶段：信息收集、事件分析和解决问题、报告输出。</w:t>
      </w:r>
    </w:p>
    <w:p w14:paraId="6F8C50A0">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信息收集：通过整合自有渠道，例如威胁响应中心；第三方渠道，例如漏洞平台等信息，第一时间获得采购人可能已暴露出的威胁。</w:t>
      </w:r>
    </w:p>
    <w:p w14:paraId="294AA5CB">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分析问题：分析产生安全问题的原因、受影响的范围、并给出相应的解决方法，同时开展研究工作。</w:t>
      </w:r>
    </w:p>
    <w:p w14:paraId="338BAE55">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解决问题：根据研究成果，进行分析工具规则检测升级。根据对问题的分析，鉴定问题的严重性，并由中标人完成相应威胁的修补工作。</w:t>
      </w:r>
    </w:p>
    <w:p w14:paraId="6B88496F">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报告输出：出具</w:t>
      </w:r>
      <w:r>
        <w:rPr>
          <w:rFonts w:hint="eastAsia" w:ascii="宋体" w:hAnsi="宋体"/>
          <w:kern w:val="0"/>
          <w:szCs w:val="32"/>
        </w:rPr>
        <w:t>《安全运营-安全事件分析报告》</w:t>
      </w:r>
      <w:r>
        <w:rPr>
          <w:rFonts w:hint="eastAsia" w:ascii="宋体" w:hAnsi="宋体"/>
        </w:rPr>
        <w:t>，为采购人管理人员的后期安全运营提供参考。</w:t>
      </w:r>
    </w:p>
    <w:p w14:paraId="151A2C46">
      <w:pPr>
        <w:tabs>
          <w:tab w:val="left" w:pos="510"/>
          <w:tab w:val="left" w:pos="540"/>
          <w:tab w:val="left" w:pos="993"/>
          <w:tab w:val="left" w:pos="1134"/>
        </w:tabs>
        <w:adjustRightInd w:val="0"/>
        <w:spacing w:line="360" w:lineRule="auto"/>
        <w:ind w:firstLine="422" w:firstLineChars="200"/>
        <w:rPr>
          <w:rFonts w:hint="eastAsia" w:ascii="宋体" w:hAnsi="宋体"/>
          <w:b/>
        </w:rPr>
      </w:pPr>
      <w:bookmarkStart w:id="13" w:name="_Toc26639"/>
      <w:r>
        <w:rPr>
          <w:rFonts w:hint="eastAsia" w:ascii="宋体" w:hAnsi="宋体"/>
          <w:b/>
        </w:rPr>
        <w:t>1.2.7威胁检测与响应服务时效</w:t>
      </w:r>
      <w:bookmarkEnd w:id="13"/>
    </w:p>
    <w:p w14:paraId="386220E0">
      <w:pPr>
        <w:tabs>
          <w:tab w:val="left" w:pos="510"/>
          <w:tab w:val="left" w:pos="540"/>
        </w:tabs>
        <w:adjustRightInd w:val="0"/>
        <w:spacing w:line="360" w:lineRule="auto"/>
        <w:ind w:firstLine="420" w:firstLineChars="200"/>
        <w:rPr>
          <w:rFonts w:hint="eastAsia" w:ascii="宋体" w:hAnsi="宋体"/>
        </w:rPr>
      </w:pPr>
      <w:r>
        <w:rPr>
          <w:rFonts w:hint="eastAsia" w:ascii="宋体" w:hAnsi="宋体" w:cs="仿宋_GB2312"/>
          <w:szCs w:val="28"/>
        </w:rPr>
        <w:t>提供7天×24小时持续监测分析。</w:t>
      </w:r>
    </w:p>
    <w:p w14:paraId="609CDCE5">
      <w:pPr>
        <w:tabs>
          <w:tab w:val="left" w:pos="510"/>
          <w:tab w:val="left" w:pos="540"/>
          <w:tab w:val="left" w:pos="993"/>
          <w:tab w:val="left" w:pos="1134"/>
        </w:tabs>
        <w:adjustRightInd w:val="0"/>
        <w:spacing w:line="360" w:lineRule="auto"/>
        <w:ind w:firstLine="422" w:firstLineChars="200"/>
        <w:rPr>
          <w:rFonts w:hint="eastAsia" w:ascii="宋体" w:hAnsi="宋体"/>
          <w:b/>
        </w:rPr>
      </w:pPr>
      <w:bookmarkStart w:id="14" w:name="_Toc14138"/>
      <w:r>
        <w:rPr>
          <w:rFonts w:hint="eastAsia" w:ascii="宋体" w:hAnsi="宋体"/>
          <w:b/>
        </w:rPr>
        <w:t>1.2.8威胁监测与响应服务交付物</w:t>
      </w:r>
      <w:bookmarkEnd w:id="14"/>
    </w:p>
    <w:p w14:paraId="6815D95C">
      <w:pPr>
        <w:tabs>
          <w:tab w:val="left" w:pos="510"/>
          <w:tab w:val="left" w:pos="540"/>
        </w:tabs>
        <w:adjustRightInd w:val="0"/>
        <w:spacing w:line="360" w:lineRule="auto"/>
        <w:ind w:firstLine="420" w:firstLineChars="200"/>
        <w:rPr>
          <w:rFonts w:ascii="宋体" w:hAnsi="宋体" w:cs="仿宋_GB2312"/>
          <w:szCs w:val="28"/>
        </w:rPr>
      </w:pPr>
      <w:r>
        <w:rPr>
          <w:rFonts w:hint="eastAsia" w:ascii="宋体" w:hAnsi="宋体" w:cs="仿宋_GB2312"/>
          <w:szCs w:val="28"/>
        </w:rPr>
        <w:t>出具《安全运营-安全事件记录表》，让采购人掌握风险状况及安全趋势，为采购人管理人员的后期安全运营提供参考。</w:t>
      </w:r>
    </w:p>
    <w:p w14:paraId="29E6036B">
      <w:pPr>
        <w:tabs>
          <w:tab w:val="left" w:pos="510"/>
          <w:tab w:val="left" w:pos="540"/>
        </w:tabs>
        <w:adjustRightInd w:val="0"/>
        <w:spacing w:line="360" w:lineRule="auto"/>
        <w:ind w:firstLine="420" w:firstLineChars="200"/>
        <w:rPr>
          <w:rFonts w:ascii="宋体" w:hAnsi="宋体" w:cs="仿宋_GB2312"/>
          <w:szCs w:val="28"/>
        </w:rPr>
      </w:pPr>
      <w:r>
        <w:rPr>
          <w:rFonts w:hint="eastAsia" w:ascii="宋体" w:hAnsi="宋体" w:cs="仿宋_GB2312"/>
          <w:szCs w:val="28"/>
        </w:rPr>
        <w:t>出具</w:t>
      </w:r>
      <w:r>
        <w:rPr>
          <w:rFonts w:hint="eastAsia" w:ascii="宋体" w:hAnsi="宋体"/>
          <w:kern w:val="0"/>
          <w:szCs w:val="32"/>
        </w:rPr>
        <w:t>《安全运营-安全事件分析报告》</w:t>
      </w:r>
      <w:r>
        <w:rPr>
          <w:rFonts w:hint="eastAsia" w:ascii="宋体" w:hAnsi="宋体" w:cs="仿宋_GB2312"/>
          <w:szCs w:val="28"/>
        </w:rPr>
        <w:t>，为采购人管理人员的后期安全运营提供参考</w:t>
      </w:r>
    </w:p>
    <w:p w14:paraId="11907E68">
      <w:pPr>
        <w:tabs>
          <w:tab w:val="left" w:pos="510"/>
          <w:tab w:val="left" w:pos="540"/>
        </w:tabs>
        <w:adjustRightInd w:val="0"/>
        <w:spacing w:line="360" w:lineRule="auto"/>
        <w:ind w:left="426" w:leftChars="203"/>
        <w:rPr>
          <w:rFonts w:hint="eastAsia" w:ascii="宋体" w:hAnsi="宋体"/>
          <w:b/>
        </w:rPr>
      </w:pPr>
      <w:bookmarkStart w:id="15" w:name="_Toc20885"/>
      <w:bookmarkStart w:id="16" w:name="_Toc7021"/>
      <w:bookmarkStart w:id="17" w:name="_Toc9876"/>
      <w:bookmarkStart w:id="18" w:name="_Toc30455"/>
      <w:bookmarkStart w:id="19" w:name="_Toc32717"/>
      <w:r>
        <w:rPr>
          <w:rFonts w:hint="eastAsia" w:ascii="宋体" w:hAnsi="宋体"/>
          <w:b/>
          <w:sz w:val="24"/>
          <w:szCs w:val="22"/>
        </w:rPr>
        <w:t>1.3</w:t>
      </w:r>
      <w:r>
        <w:rPr>
          <w:rFonts w:hint="eastAsia" w:ascii="宋体" w:hAnsi="宋体"/>
          <w:b/>
        </w:rPr>
        <w:t>驻场人员的应急响应处置服务</w:t>
      </w:r>
      <w:bookmarkEnd w:id="15"/>
      <w:bookmarkEnd w:id="16"/>
      <w:bookmarkEnd w:id="17"/>
      <w:bookmarkEnd w:id="18"/>
      <w:bookmarkEnd w:id="19"/>
    </w:p>
    <w:p w14:paraId="0FF2DF6F">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应急响应服务是指驻场服务工程师在采购人遇到突发事件后采取的措施和行动。包括主机范畴内的问题，也包括网络范畴内的问题，例如黑客入侵、信息窃取、拒绝服务攻击、网络流量异常等。驻场服务工程师采取紧急措施和行动，恢复业务到正常服务状态；调查安全事件发生的原因，避免同类安全事件再次发生；在需要司法机关介入时，提供法律认可的数字证据。</w:t>
      </w:r>
    </w:p>
    <w:p w14:paraId="0ED2E9BC">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完成下列类型安全事件的应急响应支持：</w:t>
      </w:r>
    </w:p>
    <w:p w14:paraId="3E481EF3">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1）应用服务瘫痪问题</w:t>
      </w:r>
    </w:p>
    <w:p w14:paraId="6046B11A">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2）网络阻塞、DDoS攻击问题</w:t>
      </w:r>
    </w:p>
    <w:p w14:paraId="7C5EEAD3">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3）服务器遭劫持问题</w:t>
      </w:r>
    </w:p>
    <w:p w14:paraId="25AFC917">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4）系统异常宕机问题</w:t>
      </w:r>
    </w:p>
    <w:p w14:paraId="1C3CFC4A">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5）恶意入侵、黑客攻击问题</w:t>
      </w:r>
    </w:p>
    <w:p w14:paraId="01588820">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6）病毒爆发问题</w:t>
      </w:r>
    </w:p>
    <w:p w14:paraId="26E744BB">
      <w:pPr>
        <w:tabs>
          <w:tab w:val="left" w:pos="510"/>
          <w:tab w:val="left" w:pos="540"/>
        </w:tabs>
        <w:adjustRightInd w:val="0"/>
        <w:spacing w:line="360" w:lineRule="auto"/>
        <w:ind w:firstLine="420" w:firstLineChars="200"/>
        <w:rPr>
          <w:rFonts w:ascii="宋体" w:hAnsi="宋体"/>
        </w:rPr>
      </w:pPr>
      <w:r>
        <w:rPr>
          <w:rFonts w:hint="eastAsia" w:ascii="宋体" w:hAnsi="宋体"/>
        </w:rPr>
        <w:t>7）内部安全事故</w:t>
      </w:r>
    </w:p>
    <w:p w14:paraId="243BFD82">
      <w:pPr>
        <w:tabs>
          <w:tab w:val="left" w:pos="510"/>
          <w:tab w:val="left" w:pos="540"/>
          <w:tab w:val="left" w:pos="993"/>
          <w:tab w:val="left" w:pos="1134"/>
        </w:tabs>
        <w:adjustRightInd w:val="0"/>
        <w:spacing w:line="360" w:lineRule="auto"/>
        <w:ind w:firstLine="422" w:firstLineChars="200"/>
        <w:rPr>
          <w:rFonts w:hint="eastAsia" w:ascii="宋体" w:hAnsi="宋体"/>
          <w:b/>
        </w:rPr>
      </w:pPr>
      <w:r>
        <w:rPr>
          <w:rFonts w:hint="eastAsia" w:ascii="宋体" w:hAnsi="宋体"/>
          <w:b/>
        </w:rPr>
        <w:t>1.3.1病毒类的安全事件处理方法</w:t>
      </w:r>
    </w:p>
    <w:p w14:paraId="1BF8791F">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针对病毒类的安全事件：通过病毒处置工具，并使用病毒处置工具进行病毒查杀，驻场服务工程师协助采购人完成查杀病毒。</w:t>
      </w:r>
    </w:p>
    <w:p w14:paraId="12E871D8">
      <w:pPr>
        <w:tabs>
          <w:tab w:val="left" w:pos="510"/>
          <w:tab w:val="left" w:pos="540"/>
          <w:tab w:val="left" w:pos="993"/>
          <w:tab w:val="left" w:pos="1134"/>
        </w:tabs>
        <w:adjustRightInd w:val="0"/>
        <w:spacing w:line="360" w:lineRule="auto"/>
        <w:ind w:firstLine="422" w:firstLineChars="200"/>
        <w:rPr>
          <w:rFonts w:hint="eastAsia" w:ascii="宋体" w:hAnsi="宋体"/>
        </w:rPr>
      </w:pPr>
      <w:r>
        <w:rPr>
          <w:rFonts w:hint="eastAsia" w:ascii="宋体" w:hAnsi="宋体"/>
          <w:b/>
        </w:rPr>
        <w:t>1.3.2攻击类的安全事件处理方法</w:t>
      </w:r>
    </w:p>
    <w:p w14:paraId="4D84F14D">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针对攻击类的安全事件：通过攻击日志分析，发现持续性攻击，立即采取行动实时对抗，当无防御措施时，中标人应提供攻击类安全事件的处置建议。</w:t>
      </w:r>
    </w:p>
    <w:p w14:paraId="77D0AEDC">
      <w:pPr>
        <w:tabs>
          <w:tab w:val="left" w:pos="510"/>
          <w:tab w:val="left" w:pos="540"/>
          <w:tab w:val="left" w:pos="993"/>
          <w:tab w:val="left" w:pos="1134"/>
        </w:tabs>
        <w:adjustRightInd w:val="0"/>
        <w:spacing w:line="360" w:lineRule="auto"/>
        <w:ind w:firstLine="422" w:firstLineChars="200"/>
        <w:rPr>
          <w:rFonts w:hint="eastAsia" w:ascii="宋体" w:hAnsi="宋体"/>
          <w:b/>
        </w:rPr>
      </w:pPr>
      <w:r>
        <w:rPr>
          <w:rFonts w:hint="eastAsia" w:ascii="宋体" w:hAnsi="宋体"/>
          <w:b/>
        </w:rPr>
        <w:t>1.3.3漏洞类的安全事件处理方法</w:t>
      </w:r>
    </w:p>
    <w:p w14:paraId="03DC1E29">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针对漏洞利用类的安全事件：服务工程师验证该漏洞是否利用成功，协助处置。</w:t>
      </w:r>
    </w:p>
    <w:p w14:paraId="22F300BB">
      <w:pPr>
        <w:tabs>
          <w:tab w:val="left" w:pos="510"/>
          <w:tab w:val="left" w:pos="540"/>
          <w:tab w:val="left" w:pos="993"/>
          <w:tab w:val="left" w:pos="1134"/>
        </w:tabs>
        <w:adjustRightInd w:val="0"/>
        <w:spacing w:line="360" w:lineRule="auto"/>
        <w:ind w:firstLine="422" w:firstLineChars="200"/>
        <w:rPr>
          <w:rFonts w:hint="eastAsia" w:ascii="宋体" w:hAnsi="宋体"/>
          <w:b/>
        </w:rPr>
      </w:pPr>
      <w:r>
        <w:rPr>
          <w:rFonts w:hint="eastAsia" w:ascii="宋体" w:hAnsi="宋体"/>
          <w:b/>
        </w:rPr>
        <w:t>1.3.4失陷类的安全事件处理方法</w:t>
      </w:r>
    </w:p>
    <w:p w14:paraId="74149586">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针对失陷类的安全事件：服务工程师协助采购人处置，并提供溯源服务。</w:t>
      </w:r>
    </w:p>
    <w:p w14:paraId="7595855C">
      <w:pPr>
        <w:tabs>
          <w:tab w:val="left" w:pos="510"/>
          <w:tab w:val="left" w:pos="540"/>
          <w:tab w:val="left" w:pos="993"/>
          <w:tab w:val="left" w:pos="1134"/>
        </w:tabs>
        <w:adjustRightInd w:val="0"/>
        <w:spacing w:line="360" w:lineRule="auto"/>
        <w:ind w:firstLine="422" w:firstLineChars="200"/>
        <w:rPr>
          <w:rFonts w:hint="eastAsia" w:ascii="宋体" w:hAnsi="宋体"/>
          <w:b/>
        </w:rPr>
      </w:pPr>
      <w:r>
        <w:rPr>
          <w:rFonts w:hint="eastAsia" w:ascii="宋体" w:hAnsi="宋体"/>
          <w:b/>
        </w:rPr>
        <w:t>1.3.5应急响应服务流程</w:t>
      </w:r>
    </w:p>
    <w:p w14:paraId="5B61E93D">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在收到事件告警后，中标人应在15分钟内进行故障事件的鉴别，了解事件发生情况。驻场服务工程师判断事件类型，是否需要启用应急响应服务。</w:t>
      </w:r>
    </w:p>
    <w:p w14:paraId="724BFA09">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在判断事件类型可能为安全事件，启用应急响应后，驻场服务工程师进行信息收集工作，详细了解掌握事件发生的始终、现状、可能的影响，对事件进行详细分析，提供事件处置建议，并解决事件。</w:t>
      </w:r>
    </w:p>
    <w:p w14:paraId="3C5E2BF2">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驻场服务工程师在最短时间内，分析事件可能的原因，解决各类安全事件。如遇驻场服务工程师无法解决的安全事件时，服务工程师应通过电话、QQ远程协助、远程临时接入等非现场的活动，分析事件可能的原因，解决各类安全事件。</w:t>
      </w:r>
    </w:p>
    <w:p w14:paraId="359561EB">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待事件处理结束后，驻场服务工程师整理事件分析、事件处理的过程记录和相关资料，撰写应急响应服务记录报告，提交给采购人。对于大型、复杂的应急响应过程进行整体的事件处理汇报工作。</w:t>
      </w:r>
    </w:p>
    <w:p w14:paraId="6C959A33">
      <w:pPr>
        <w:tabs>
          <w:tab w:val="left" w:pos="510"/>
          <w:tab w:val="left" w:pos="540"/>
          <w:tab w:val="left" w:pos="993"/>
          <w:tab w:val="left" w:pos="1134"/>
        </w:tabs>
        <w:adjustRightInd w:val="0"/>
        <w:spacing w:line="360" w:lineRule="auto"/>
        <w:ind w:firstLine="422" w:firstLineChars="200"/>
        <w:rPr>
          <w:rFonts w:hint="eastAsia" w:ascii="宋体" w:hAnsi="宋体"/>
          <w:b/>
        </w:rPr>
      </w:pPr>
      <w:r>
        <w:rPr>
          <w:rFonts w:hint="eastAsia" w:ascii="宋体" w:hAnsi="宋体"/>
          <w:b/>
        </w:rPr>
        <w:t>1.3.6服务时效</w:t>
      </w:r>
    </w:p>
    <w:p w14:paraId="657D61B2">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提供7天×24小时持续按需响应服务。</w:t>
      </w:r>
    </w:p>
    <w:p w14:paraId="2CB9BD29">
      <w:pPr>
        <w:tabs>
          <w:tab w:val="left" w:pos="510"/>
          <w:tab w:val="left" w:pos="540"/>
          <w:tab w:val="left" w:pos="993"/>
          <w:tab w:val="left" w:pos="1134"/>
        </w:tabs>
        <w:adjustRightInd w:val="0"/>
        <w:spacing w:line="360" w:lineRule="auto"/>
        <w:ind w:firstLine="422" w:firstLineChars="200"/>
        <w:rPr>
          <w:rFonts w:hint="eastAsia" w:ascii="宋体" w:hAnsi="宋体"/>
          <w:b/>
        </w:rPr>
      </w:pPr>
      <w:r>
        <w:rPr>
          <w:rFonts w:hint="eastAsia" w:ascii="宋体" w:hAnsi="宋体"/>
          <w:b/>
        </w:rPr>
        <w:t>1.3.7服务交付物</w:t>
      </w:r>
    </w:p>
    <w:p w14:paraId="01B6FAB1">
      <w:pPr>
        <w:tabs>
          <w:tab w:val="left" w:pos="510"/>
          <w:tab w:val="left" w:pos="540"/>
        </w:tabs>
        <w:adjustRightInd w:val="0"/>
        <w:spacing w:line="360" w:lineRule="auto"/>
        <w:ind w:left="420"/>
        <w:rPr>
          <w:rFonts w:ascii="宋体" w:hAnsi="宋体"/>
        </w:rPr>
      </w:pPr>
      <w:bookmarkStart w:id="20" w:name="_Toc21180"/>
      <w:bookmarkStart w:id="21" w:name="_Toc12625"/>
      <w:r>
        <w:rPr>
          <w:rFonts w:hint="eastAsia" w:ascii="宋体" w:hAnsi="宋体" w:cs="仿宋_GB2312"/>
          <w:szCs w:val="28"/>
        </w:rPr>
        <w:t>根据安全事件的处置结果出具《应急安全事件分析报告》</w:t>
      </w:r>
      <w:bookmarkStart w:id="22" w:name="_Toc12260"/>
      <w:bookmarkStart w:id="23" w:name="_Toc22129"/>
      <w:r>
        <w:rPr>
          <w:rFonts w:hint="eastAsia" w:ascii="宋体" w:hAnsi="宋体" w:cs="仿宋_GB2312"/>
          <w:szCs w:val="28"/>
        </w:rPr>
        <w:t>。</w:t>
      </w:r>
    </w:p>
    <w:p w14:paraId="4400DED9">
      <w:pPr>
        <w:tabs>
          <w:tab w:val="left" w:pos="510"/>
          <w:tab w:val="left" w:pos="540"/>
        </w:tabs>
        <w:adjustRightInd w:val="0"/>
        <w:spacing w:line="360" w:lineRule="auto"/>
        <w:ind w:left="420" w:leftChars="200"/>
        <w:rPr>
          <w:rFonts w:hint="eastAsia" w:ascii="宋体" w:hAnsi="宋体"/>
          <w:b/>
        </w:rPr>
      </w:pPr>
      <w:r>
        <w:rPr>
          <w:rFonts w:hint="eastAsia"/>
          <w:b/>
        </w:rPr>
        <w:t>1.4驻场人员的终端安全管理服务</w:t>
      </w:r>
      <w:bookmarkEnd w:id="20"/>
      <w:bookmarkEnd w:id="21"/>
      <w:bookmarkEnd w:id="22"/>
      <w:bookmarkEnd w:id="23"/>
    </w:p>
    <w:p w14:paraId="3399F53E">
      <w:pPr>
        <w:tabs>
          <w:tab w:val="left" w:pos="510"/>
          <w:tab w:val="left" w:pos="540"/>
          <w:tab w:val="left" w:pos="993"/>
          <w:tab w:val="left" w:pos="1134"/>
        </w:tabs>
        <w:adjustRightInd w:val="0"/>
        <w:spacing w:line="360" w:lineRule="auto"/>
        <w:ind w:left="420" w:leftChars="200"/>
        <w:rPr>
          <w:rFonts w:hint="eastAsia" w:ascii="宋体" w:hAnsi="宋体"/>
          <w:b/>
        </w:rPr>
      </w:pPr>
      <w:r>
        <w:rPr>
          <w:rFonts w:hint="eastAsia" w:ascii="宋体" w:hAnsi="宋体"/>
          <w:b/>
        </w:rPr>
        <w:t>1.4.1终端安全管理服务流程</w:t>
      </w:r>
    </w:p>
    <w:p w14:paraId="16031994">
      <w:pPr>
        <w:tabs>
          <w:tab w:val="left" w:pos="510"/>
          <w:tab w:val="left" w:pos="540"/>
        </w:tabs>
        <w:adjustRightInd w:val="0"/>
        <w:spacing w:line="360" w:lineRule="auto"/>
        <w:ind w:firstLine="420" w:firstLineChars="200"/>
        <w:rPr>
          <w:rFonts w:ascii="宋体" w:hAnsi="宋体"/>
        </w:rPr>
      </w:pPr>
      <w:r>
        <w:rPr>
          <w:rFonts w:hint="eastAsia" w:ascii="宋体" w:hAnsi="宋体"/>
        </w:rPr>
        <w:t>（1）参考佛山大学信息安全技术架构，确定终端安全的功能需求、用户场景。</w:t>
      </w:r>
    </w:p>
    <w:p w14:paraId="194E9F8E">
      <w:pPr>
        <w:tabs>
          <w:tab w:val="left" w:pos="510"/>
          <w:tab w:val="left" w:pos="540"/>
        </w:tabs>
        <w:adjustRightInd w:val="0"/>
        <w:spacing w:line="360" w:lineRule="auto"/>
        <w:ind w:firstLine="420" w:firstLineChars="200"/>
        <w:rPr>
          <w:rFonts w:ascii="宋体" w:hAnsi="宋体"/>
        </w:rPr>
      </w:pPr>
      <w:r>
        <w:rPr>
          <w:rFonts w:hint="eastAsia" w:ascii="宋体" w:hAnsi="宋体"/>
        </w:rPr>
        <w:t>（2）分阶段部署相应的功能。</w:t>
      </w:r>
    </w:p>
    <w:p w14:paraId="6DBCE355">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（3）资产管理、防毒软件、补丁工具、个人防火墙、终端控制工具、统一OS镜像、身份管理、相关审计工具等。</w:t>
      </w:r>
    </w:p>
    <w:p w14:paraId="6E2F7B3A">
      <w:pPr>
        <w:tabs>
          <w:tab w:val="left" w:pos="510"/>
          <w:tab w:val="left" w:pos="540"/>
          <w:tab w:val="left" w:pos="993"/>
          <w:tab w:val="left" w:pos="1134"/>
        </w:tabs>
        <w:adjustRightInd w:val="0"/>
        <w:spacing w:line="360" w:lineRule="auto"/>
        <w:ind w:left="420" w:leftChars="200"/>
        <w:rPr>
          <w:rFonts w:hint="eastAsia" w:ascii="宋体" w:hAnsi="宋体"/>
          <w:b/>
        </w:rPr>
      </w:pPr>
      <w:r>
        <w:rPr>
          <w:rFonts w:hint="eastAsia" w:ascii="宋体" w:hAnsi="宋体"/>
          <w:b/>
        </w:rPr>
        <w:t>1.4.2终端安全管理服务内容</w:t>
      </w:r>
    </w:p>
    <w:p w14:paraId="41F0FBC1">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具体服务内容包含部署策略、管控策略、检查、培训、通知、应急响应等。运维服务内容包括：</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1"/>
        <w:gridCol w:w="1891"/>
        <w:gridCol w:w="5738"/>
      </w:tblGrid>
      <w:tr w14:paraId="7B1E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blHeader/>
          <w:jc w:val="center"/>
        </w:trPr>
        <w:tc>
          <w:tcPr>
            <w:tcW w:w="421" w:type="pct"/>
            <w:noWrap w:val="0"/>
            <w:tcMar>
              <w:top w:w="12" w:type="dxa"/>
              <w:left w:w="12" w:type="dxa"/>
              <w:bottom w:w="0" w:type="dxa"/>
              <w:right w:w="12" w:type="dxa"/>
            </w:tcMar>
            <w:vAlign w:val="center"/>
          </w:tcPr>
          <w:p w14:paraId="7C600E93">
            <w:pPr>
              <w:jc w:val="center"/>
              <w:rPr>
                <w:rFonts w:ascii="宋体" w:hAnsi="宋体"/>
              </w:rPr>
            </w:pPr>
            <w:r>
              <w:rPr>
                <w:rFonts w:ascii="宋体" w:hAnsi="宋体"/>
                <w:b/>
                <w:bCs/>
              </w:rPr>
              <w:t>事件类型</w:t>
            </w:r>
          </w:p>
        </w:tc>
        <w:tc>
          <w:tcPr>
            <w:tcW w:w="1135" w:type="pct"/>
            <w:noWrap w:val="0"/>
            <w:tcMar>
              <w:top w:w="12" w:type="dxa"/>
              <w:left w:w="12" w:type="dxa"/>
              <w:bottom w:w="0" w:type="dxa"/>
              <w:right w:w="12" w:type="dxa"/>
            </w:tcMar>
            <w:vAlign w:val="center"/>
          </w:tcPr>
          <w:p w14:paraId="6970E966">
            <w:pPr>
              <w:jc w:val="center"/>
              <w:rPr>
                <w:rFonts w:ascii="宋体" w:hAnsi="宋体"/>
              </w:rPr>
            </w:pPr>
            <w:r>
              <w:rPr>
                <w:rFonts w:ascii="宋体" w:hAnsi="宋体"/>
                <w:b/>
                <w:bCs/>
              </w:rPr>
              <w:t>具体类型</w:t>
            </w:r>
          </w:p>
        </w:tc>
        <w:tc>
          <w:tcPr>
            <w:tcW w:w="3444" w:type="pct"/>
            <w:noWrap w:val="0"/>
            <w:tcMar>
              <w:top w:w="12" w:type="dxa"/>
              <w:left w:w="12" w:type="dxa"/>
              <w:bottom w:w="0" w:type="dxa"/>
              <w:right w:w="12" w:type="dxa"/>
            </w:tcMar>
            <w:vAlign w:val="center"/>
          </w:tcPr>
          <w:p w14:paraId="1D8C35DE">
            <w:pPr>
              <w:jc w:val="center"/>
              <w:rPr>
                <w:rFonts w:ascii="宋体" w:hAnsi="宋体"/>
              </w:rPr>
            </w:pPr>
            <w:r>
              <w:rPr>
                <w:rFonts w:ascii="宋体" w:hAnsi="宋体"/>
                <w:b/>
                <w:bCs/>
              </w:rPr>
              <w:t>描述</w:t>
            </w:r>
          </w:p>
        </w:tc>
      </w:tr>
      <w:tr w14:paraId="421F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restart"/>
            <w:noWrap w:val="0"/>
            <w:tcMar>
              <w:top w:w="12" w:type="dxa"/>
              <w:left w:w="12" w:type="dxa"/>
              <w:bottom w:w="0" w:type="dxa"/>
              <w:right w:w="12" w:type="dxa"/>
            </w:tcMar>
            <w:vAlign w:val="center"/>
          </w:tcPr>
          <w:p w14:paraId="715B57A3">
            <w:pPr>
              <w:jc w:val="center"/>
              <w:rPr>
                <w:rFonts w:ascii="宋体" w:hAnsi="宋体"/>
              </w:rPr>
            </w:pPr>
            <w:r>
              <w:rPr>
                <w:rFonts w:ascii="宋体" w:hAnsi="宋体"/>
              </w:rPr>
              <w:t>例行任务</w:t>
            </w:r>
          </w:p>
        </w:tc>
        <w:tc>
          <w:tcPr>
            <w:tcW w:w="1135" w:type="pct"/>
            <w:noWrap w:val="0"/>
            <w:tcMar>
              <w:top w:w="12" w:type="dxa"/>
              <w:left w:w="12" w:type="dxa"/>
              <w:bottom w:w="0" w:type="dxa"/>
              <w:right w:w="12" w:type="dxa"/>
            </w:tcMar>
            <w:vAlign w:val="center"/>
          </w:tcPr>
          <w:p w14:paraId="12FC0DE9">
            <w:pPr>
              <w:jc w:val="center"/>
              <w:rPr>
                <w:rFonts w:ascii="宋体" w:hAnsi="宋体"/>
              </w:rPr>
            </w:pPr>
            <w:r>
              <w:rPr>
                <w:rFonts w:ascii="宋体" w:hAnsi="宋体"/>
              </w:rPr>
              <w:t>产品运行状态检查</w:t>
            </w:r>
          </w:p>
        </w:tc>
        <w:tc>
          <w:tcPr>
            <w:tcW w:w="3444" w:type="pct"/>
            <w:noWrap w:val="0"/>
            <w:tcMar>
              <w:top w:w="12" w:type="dxa"/>
              <w:left w:w="12" w:type="dxa"/>
              <w:bottom w:w="0" w:type="dxa"/>
              <w:right w:w="12" w:type="dxa"/>
            </w:tcMar>
            <w:vAlign w:val="center"/>
          </w:tcPr>
          <w:p w14:paraId="47AA28A3">
            <w:pPr>
              <w:rPr>
                <w:rFonts w:ascii="宋体" w:hAnsi="宋体"/>
              </w:rPr>
            </w:pPr>
            <w:r>
              <w:rPr>
                <w:rFonts w:ascii="宋体" w:hAnsi="宋体"/>
              </w:rPr>
              <w:t>每日检查产品运行情况、病毒库与补丁库日期、授权期限等</w:t>
            </w:r>
          </w:p>
        </w:tc>
      </w:tr>
      <w:tr w14:paraId="2B02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continue"/>
            <w:noWrap w:val="0"/>
            <w:vAlign w:val="center"/>
          </w:tcPr>
          <w:p w14:paraId="49CD0617">
            <w:pPr>
              <w:ind w:firstLine="420" w:firstLineChars="200"/>
              <w:jc w:val="center"/>
              <w:rPr>
                <w:rFonts w:ascii="宋体" w:hAnsi="宋体"/>
              </w:rPr>
            </w:pPr>
          </w:p>
        </w:tc>
        <w:tc>
          <w:tcPr>
            <w:tcW w:w="1135" w:type="pct"/>
            <w:noWrap w:val="0"/>
            <w:tcMar>
              <w:top w:w="12" w:type="dxa"/>
              <w:left w:w="12" w:type="dxa"/>
              <w:bottom w:w="0" w:type="dxa"/>
              <w:right w:w="12" w:type="dxa"/>
            </w:tcMar>
            <w:vAlign w:val="center"/>
          </w:tcPr>
          <w:p w14:paraId="712E1ECD">
            <w:pPr>
              <w:jc w:val="center"/>
              <w:rPr>
                <w:rFonts w:ascii="宋体" w:hAnsi="宋体"/>
              </w:rPr>
            </w:pPr>
            <w:r>
              <w:rPr>
                <w:rFonts w:ascii="宋体" w:hAnsi="宋体"/>
              </w:rPr>
              <w:t>周巡检报告</w:t>
            </w:r>
          </w:p>
        </w:tc>
        <w:tc>
          <w:tcPr>
            <w:tcW w:w="3444" w:type="pct"/>
            <w:noWrap w:val="0"/>
            <w:tcMar>
              <w:top w:w="12" w:type="dxa"/>
              <w:left w:w="12" w:type="dxa"/>
              <w:bottom w:w="0" w:type="dxa"/>
              <w:right w:w="12" w:type="dxa"/>
            </w:tcMar>
            <w:vAlign w:val="center"/>
          </w:tcPr>
          <w:p w14:paraId="5EDA1A4E">
            <w:pPr>
              <w:rPr>
                <w:rFonts w:ascii="宋体" w:hAnsi="宋体"/>
              </w:rPr>
            </w:pPr>
            <w:r>
              <w:rPr>
                <w:rFonts w:ascii="宋体" w:hAnsi="宋体"/>
              </w:rPr>
              <w:t>每周的产品巡检报告</w:t>
            </w:r>
          </w:p>
        </w:tc>
      </w:tr>
      <w:tr w14:paraId="6732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continue"/>
            <w:noWrap w:val="0"/>
            <w:vAlign w:val="center"/>
          </w:tcPr>
          <w:p w14:paraId="2407F0E2">
            <w:pPr>
              <w:ind w:firstLine="420" w:firstLineChars="200"/>
              <w:jc w:val="center"/>
              <w:rPr>
                <w:rFonts w:ascii="宋体" w:hAnsi="宋体"/>
              </w:rPr>
            </w:pPr>
          </w:p>
        </w:tc>
        <w:tc>
          <w:tcPr>
            <w:tcW w:w="1135" w:type="pct"/>
            <w:noWrap w:val="0"/>
            <w:tcMar>
              <w:top w:w="12" w:type="dxa"/>
              <w:left w:w="12" w:type="dxa"/>
              <w:bottom w:w="0" w:type="dxa"/>
              <w:right w:w="12" w:type="dxa"/>
            </w:tcMar>
            <w:vAlign w:val="center"/>
          </w:tcPr>
          <w:p w14:paraId="7942C70C">
            <w:pPr>
              <w:jc w:val="center"/>
              <w:rPr>
                <w:rFonts w:ascii="宋体" w:hAnsi="宋体"/>
              </w:rPr>
            </w:pPr>
            <w:r>
              <w:rPr>
                <w:rFonts w:ascii="宋体" w:hAnsi="宋体"/>
              </w:rPr>
              <w:t>月/年度运营报告</w:t>
            </w:r>
          </w:p>
        </w:tc>
        <w:tc>
          <w:tcPr>
            <w:tcW w:w="3444" w:type="pct"/>
            <w:noWrap w:val="0"/>
            <w:tcMar>
              <w:top w:w="12" w:type="dxa"/>
              <w:left w:w="12" w:type="dxa"/>
              <w:bottom w:w="0" w:type="dxa"/>
              <w:right w:w="12" w:type="dxa"/>
            </w:tcMar>
            <w:vAlign w:val="center"/>
          </w:tcPr>
          <w:p w14:paraId="25F41576">
            <w:pPr>
              <w:rPr>
                <w:rFonts w:ascii="宋体" w:hAnsi="宋体"/>
              </w:rPr>
            </w:pPr>
            <w:r>
              <w:rPr>
                <w:rFonts w:ascii="宋体" w:hAnsi="宋体"/>
              </w:rPr>
              <w:t>月/年度安装率、正常率、基线合规率数据报告</w:t>
            </w:r>
          </w:p>
        </w:tc>
      </w:tr>
      <w:tr w14:paraId="3672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restart"/>
            <w:noWrap w:val="0"/>
            <w:tcMar>
              <w:top w:w="12" w:type="dxa"/>
              <w:left w:w="12" w:type="dxa"/>
              <w:bottom w:w="0" w:type="dxa"/>
              <w:right w:w="12" w:type="dxa"/>
            </w:tcMar>
            <w:vAlign w:val="center"/>
          </w:tcPr>
          <w:p w14:paraId="06D81E8C">
            <w:pPr>
              <w:jc w:val="center"/>
              <w:rPr>
                <w:rFonts w:ascii="宋体" w:hAnsi="宋体"/>
              </w:rPr>
            </w:pPr>
            <w:r>
              <w:rPr>
                <w:rFonts w:ascii="宋体" w:hAnsi="宋体"/>
              </w:rPr>
              <w:t>日常工作</w:t>
            </w:r>
          </w:p>
        </w:tc>
        <w:tc>
          <w:tcPr>
            <w:tcW w:w="1135" w:type="pct"/>
            <w:noWrap w:val="0"/>
            <w:tcMar>
              <w:top w:w="12" w:type="dxa"/>
              <w:left w:w="12" w:type="dxa"/>
              <w:bottom w:w="0" w:type="dxa"/>
              <w:right w:w="12" w:type="dxa"/>
            </w:tcMar>
            <w:vAlign w:val="center"/>
          </w:tcPr>
          <w:p w14:paraId="5BAA05FF">
            <w:pPr>
              <w:jc w:val="center"/>
              <w:rPr>
                <w:rFonts w:ascii="宋体" w:hAnsi="宋体"/>
              </w:rPr>
            </w:pPr>
            <w:r>
              <w:rPr>
                <w:rFonts w:ascii="宋体" w:hAnsi="宋体"/>
              </w:rPr>
              <w:t>策略配置</w:t>
            </w:r>
          </w:p>
        </w:tc>
        <w:tc>
          <w:tcPr>
            <w:tcW w:w="3444" w:type="pct"/>
            <w:noWrap w:val="0"/>
            <w:tcMar>
              <w:top w:w="12" w:type="dxa"/>
              <w:left w:w="12" w:type="dxa"/>
              <w:bottom w:w="0" w:type="dxa"/>
              <w:right w:w="12" w:type="dxa"/>
            </w:tcMar>
            <w:vAlign w:val="center"/>
          </w:tcPr>
          <w:p w14:paraId="4B4C3930">
            <w:pPr>
              <w:rPr>
                <w:rFonts w:ascii="宋体" w:hAnsi="宋体"/>
              </w:rPr>
            </w:pPr>
            <w:r>
              <w:rPr>
                <w:rFonts w:ascii="宋体" w:hAnsi="宋体"/>
              </w:rPr>
              <w:t>产品策略的调整配置</w:t>
            </w:r>
          </w:p>
        </w:tc>
      </w:tr>
      <w:tr w14:paraId="18D3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continue"/>
            <w:noWrap w:val="0"/>
            <w:vAlign w:val="center"/>
          </w:tcPr>
          <w:p w14:paraId="0E0309F0">
            <w:pPr>
              <w:ind w:firstLine="420" w:firstLineChars="200"/>
              <w:jc w:val="center"/>
              <w:rPr>
                <w:rFonts w:ascii="宋体" w:hAnsi="宋体"/>
              </w:rPr>
            </w:pPr>
          </w:p>
        </w:tc>
        <w:tc>
          <w:tcPr>
            <w:tcW w:w="1135" w:type="pct"/>
            <w:noWrap w:val="0"/>
            <w:tcMar>
              <w:top w:w="12" w:type="dxa"/>
              <w:left w:w="12" w:type="dxa"/>
              <w:bottom w:w="0" w:type="dxa"/>
              <w:right w:w="12" w:type="dxa"/>
            </w:tcMar>
            <w:vAlign w:val="center"/>
          </w:tcPr>
          <w:p w14:paraId="70FA3708">
            <w:pPr>
              <w:jc w:val="center"/>
              <w:rPr>
                <w:rFonts w:ascii="宋体" w:hAnsi="宋体"/>
              </w:rPr>
            </w:pPr>
            <w:r>
              <w:rPr>
                <w:rFonts w:ascii="宋体" w:hAnsi="宋体"/>
              </w:rPr>
              <w:t>数据更新</w:t>
            </w:r>
          </w:p>
        </w:tc>
        <w:tc>
          <w:tcPr>
            <w:tcW w:w="3444" w:type="pct"/>
            <w:noWrap w:val="0"/>
            <w:tcMar>
              <w:top w:w="12" w:type="dxa"/>
              <w:left w:w="12" w:type="dxa"/>
              <w:bottom w:w="0" w:type="dxa"/>
              <w:right w:w="12" w:type="dxa"/>
            </w:tcMar>
            <w:vAlign w:val="center"/>
          </w:tcPr>
          <w:p w14:paraId="32419DA8">
            <w:pPr>
              <w:rPr>
                <w:rFonts w:ascii="宋体" w:hAnsi="宋体"/>
              </w:rPr>
            </w:pPr>
            <w:r>
              <w:rPr>
                <w:rFonts w:ascii="宋体" w:hAnsi="宋体"/>
              </w:rPr>
              <w:t>按时完成病毒库、补丁库、授权、系统版本数据的更新</w:t>
            </w:r>
          </w:p>
        </w:tc>
      </w:tr>
      <w:tr w14:paraId="5737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421" w:type="pct"/>
            <w:vMerge w:val="continue"/>
            <w:noWrap w:val="0"/>
            <w:vAlign w:val="center"/>
          </w:tcPr>
          <w:p w14:paraId="16F66C39">
            <w:pPr>
              <w:ind w:firstLine="420" w:firstLineChars="200"/>
              <w:jc w:val="center"/>
              <w:rPr>
                <w:rFonts w:ascii="宋体" w:hAnsi="宋体"/>
              </w:rPr>
            </w:pPr>
          </w:p>
        </w:tc>
        <w:tc>
          <w:tcPr>
            <w:tcW w:w="1135" w:type="pct"/>
            <w:noWrap w:val="0"/>
            <w:tcMar>
              <w:top w:w="12" w:type="dxa"/>
              <w:left w:w="12" w:type="dxa"/>
              <w:bottom w:w="0" w:type="dxa"/>
              <w:right w:w="12" w:type="dxa"/>
            </w:tcMar>
            <w:vAlign w:val="center"/>
          </w:tcPr>
          <w:p w14:paraId="23242E3D">
            <w:pPr>
              <w:jc w:val="center"/>
              <w:rPr>
                <w:rFonts w:ascii="宋体" w:hAnsi="宋体"/>
              </w:rPr>
            </w:pPr>
            <w:r>
              <w:rPr>
                <w:rFonts w:ascii="宋体" w:hAnsi="宋体"/>
              </w:rPr>
              <w:t>三大指标提升</w:t>
            </w:r>
          </w:p>
        </w:tc>
        <w:tc>
          <w:tcPr>
            <w:tcW w:w="3444" w:type="pct"/>
            <w:noWrap w:val="0"/>
            <w:tcMar>
              <w:top w:w="12" w:type="dxa"/>
              <w:left w:w="12" w:type="dxa"/>
              <w:bottom w:w="0" w:type="dxa"/>
              <w:right w:w="12" w:type="dxa"/>
            </w:tcMar>
            <w:vAlign w:val="center"/>
          </w:tcPr>
          <w:p w14:paraId="0C4C8D7A">
            <w:pPr>
              <w:rPr>
                <w:rFonts w:ascii="宋体" w:hAnsi="宋体"/>
              </w:rPr>
            </w:pPr>
            <w:r>
              <w:rPr>
                <w:rFonts w:ascii="宋体" w:hAnsi="宋体"/>
              </w:rPr>
              <w:t>终端安装率、正常率、合规率。辅助客户，推动不合规用户的终端状态改进，含客户端或服务端程序的安装与卸载</w:t>
            </w:r>
          </w:p>
        </w:tc>
      </w:tr>
      <w:tr w14:paraId="371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continue"/>
            <w:noWrap w:val="0"/>
            <w:vAlign w:val="center"/>
          </w:tcPr>
          <w:p w14:paraId="0C5E2E1F">
            <w:pPr>
              <w:ind w:firstLine="420" w:firstLineChars="200"/>
              <w:jc w:val="center"/>
              <w:rPr>
                <w:rFonts w:ascii="宋体" w:hAnsi="宋体"/>
              </w:rPr>
            </w:pPr>
          </w:p>
        </w:tc>
        <w:tc>
          <w:tcPr>
            <w:tcW w:w="1135" w:type="pct"/>
            <w:noWrap w:val="0"/>
            <w:tcMar>
              <w:top w:w="12" w:type="dxa"/>
              <w:left w:w="12" w:type="dxa"/>
              <w:bottom w:w="0" w:type="dxa"/>
              <w:right w:w="12" w:type="dxa"/>
            </w:tcMar>
            <w:vAlign w:val="center"/>
          </w:tcPr>
          <w:p w14:paraId="5825331C">
            <w:pPr>
              <w:jc w:val="center"/>
              <w:rPr>
                <w:rFonts w:ascii="宋体" w:hAnsi="宋体"/>
              </w:rPr>
            </w:pPr>
            <w:r>
              <w:rPr>
                <w:rFonts w:ascii="宋体" w:hAnsi="宋体"/>
              </w:rPr>
              <w:t>产品软硬件故障处理</w:t>
            </w:r>
          </w:p>
        </w:tc>
        <w:tc>
          <w:tcPr>
            <w:tcW w:w="3444" w:type="pct"/>
            <w:noWrap w:val="0"/>
            <w:tcMar>
              <w:top w:w="12" w:type="dxa"/>
              <w:left w:w="12" w:type="dxa"/>
              <w:bottom w:w="0" w:type="dxa"/>
              <w:right w:w="12" w:type="dxa"/>
            </w:tcMar>
            <w:vAlign w:val="center"/>
          </w:tcPr>
          <w:p w14:paraId="51AEDA57">
            <w:pPr>
              <w:rPr>
                <w:rFonts w:ascii="宋体" w:hAnsi="宋体"/>
              </w:rPr>
            </w:pPr>
            <w:r>
              <w:rPr>
                <w:rFonts w:ascii="宋体" w:hAnsi="宋体"/>
              </w:rPr>
              <w:t>产品使用中问题与BUG的处理与跟踪，相关硬件的报修与更换</w:t>
            </w:r>
          </w:p>
        </w:tc>
      </w:tr>
      <w:tr w14:paraId="6DF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continue"/>
            <w:noWrap w:val="0"/>
            <w:vAlign w:val="center"/>
          </w:tcPr>
          <w:p w14:paraId="0DB7E63B">
            <w:pPr>
              <w:ind w:firstLine="420" w:firstLineChars="200"/>
              <w:jc w:val="center"/>
              <w:rPr>
                <w:rFonts w:ascii="宋体" w:hAnsi="宋体"/>
              </w:rPr>
            </w:pPr>
          </w:p>
        </w:tc>
        <w:tc>
          <w:tcPr>
            <w:tcW w:w="1135" w:type="pct"/>
            <w:noWrap w:val="0"/>
            <w:tcMar>
              <w:top w:w="12" w:type="dxa"/>
              <w:left w:w="12" w:type="dxa"/>
              <w:bottom w:w="0" w:type="dxa"/>
              <w:right w:w="12" w:type="dxa"/>
            </w:tcMar>
            <w:vAlign w:val="center"/>
          </w:tcPr>
          <w:p w14:paraId="049723BD">
            <w:pPr>
              <w:jc w:val="center"/>
              <w:rPr>
                <w:rFonts w:ascii="宋体" w:hAnsi="宋体"/>
              </w:rPr>
            </w:pPr>
            <w:r>
              <w:rPr>
                <w:rFonts w:ascii="宋体" w:hAnsi="宋体"/>
              </w:rPr>
              <w:t>漏洞库维护与升级</w:t>
            </w:r>
          </w:p>
        </w:tc>
        <w:tc>
          <w:tcPr>
            <w:tcW w:w="3444" w:type="pct"/>
            <w:noWrap w:val="0"/>
            <w:tcMar>
              <w:top w:w="12" w:type="dxa"/>
              <w:left w:w="12" w:type="dxa"/>
              <w:bottom w:w="0" w:type="dxa"/>
              <w:right w:w="12" w:type="dxa"/>
            </w:tcMar>
            <w:vAlign w:val="center"/>
          </w:tcPr>
          <w:p w14:paraId="74E5494E">
            <w:pPr>
              <w:rPr>
                <w:rFonts w:ascii="宋体" w:hAnsi="宋体"/>
              </w:rPr>
            </w:pPr>
            <w:r>
              <w:rPr>
                <w:rFonts w:ascii="宋体" w:hAnsi="宋体"/>
              </w:rPr>
              <w:t>漏洞库更新，漏洞修复以及漏洞修复衍生问题处理</w:t>
            </w:r>
          </w:p>
        </w:tc>
      </w:tr>
      <w:tr w14:paraId="5487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continue"/>
            <w:noWrap w:val="0"/>
            <w:vAlign w:val="center"/>
          </w:tcPr>
          <w:p w14:paraId="5B094C12">
            <w:pPr>
              <w:ind w:firstLine="420" w:firstLineChars="200"/>
              <w:jc w:val="center"/>
              <w:rPr>
                <w:rFonts w:ascii="宋体" w:hAnsi="宋体"/>
              </w:rPr>
            </w:pPr>
          </w:p>
        </w:tc>
        <w:tc>
          <w:tcPr>
            <w:tcW w:w="1135" w:type="pct"/>
            <w:noWrap w:val="0"/>
            <w:tcMar>
              <w:top w:w="12" w:type="dxa"/>
              <w:left w:w="12" w:type="dxa"/>
              <w:bottom w:w="0" w:type="dxa"/>
              <w:right w:w="12" w:type="dxa"/>
            </w:tcMar>
            <w:vAlign w:val="center"/>
          </w:tcPr>
          <w:p w14:paraId="1025FFC8">
            <w:pPr>
              <w:jc w:val="center"/>
              <w:rPr>
                <w:rFonts w:ascii="宋体" w:hAnsi="宋体"/>
              </w:rPr>
            </w:pPr>
            <w:r>
              <w:rPr>
                <w:rFonts w:ascii="宋体" w:hAnsi="宋体"/>
              </w:rPr>
              <w:t>病毒库、病毒检测与杀毒支持</w:t>
            </w:r>
          </w:p>
        </w:tc>
        <w:tc>
          <w:tcPr>
            <w:tcW w:w="3444" w:type="pct"/>
            <w:noWrap w:val="0"/>
            <w:tcMar>
              <w:top w:w="12" w:type="dxa"/>
              <w:left w:w="12" w:type="dxa"/>
              <w:bottom w:w="0" w:type="dxa"/>
              <w:right w:w="12" w:type="dxa"/>
            </w:tcMar>
            <w:vAlign w:val="center"/>
          </w:tcPr>
          <w:p w14:paraId="62C35117">
            <w:pPr>
              <w:rPr>
                <w:rFonts w:ascii="宋体" w:hAnsi="宋体"/>
              </w:rPr>
            </w:pPr>
            <w:r>
              <w:rPr>
                <w:rFonts w:ascii="宋体" w:hAnsi="宋体"/>
              </w:rPr>
              <w:t>病毒库更新，病毒查杀以及衍生问题处理</w:t>
            </w:r>
          </w:p>
        </w:tc>
      </w:tr>
      <w:tr w14:paraId="6911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continue"/>
            <w:noWrap w:val="0"/>
            <w:vAlign w:val="center"/>
          </w:tcPr>
          <w:p w14:paraId="7233DCE1">
            <w:pPr>
              <w:ind w:firstLine="420" w:firstLineChars="200"/>
              <w:jc w:val="center"/>
              <w:rPr>
                <w:rFonts w:ascii="宋体" w:hAnsi="宋体"/>
              </w:rPr>
            </w:pPr>
          </w:p>
        </w:tc>
        <w:tc>
          <w:tcPr>
            <w:tcW w:w="1135" w:type="pct"/>
            <w:noWrap w:val="0"/>
            <w:tcMar>
              <w:top w:w="12" w:type="dxa"/>
              <w:left w:w="12" w:type="dxa"/>
              <w:bottom w:w="0" w:type="dxa"/>
              <w:right w:w="12" w:type="dxa"/>
            </w:tcMar>
            <w:vAlign w:val="center"/>
          </w:tcPr>
          <w:p w14:paraId="55BA522F">
            <w:pPr>
              <w:jc w:val="center"/>
              <w:rPr>
                <w:rFonts w:ascii="宋体" w:hAnsi="宋体"/>
              </w:rPr>
            </w:pPr>
            <w:r>
              <w:rPr>
                <w:rFonts w:ascii="宋体" w:hAnsi="宋体"/>
              </w:rPr>
              <w:t>解惑答疑</w:t>
            </w:r>
          </w:p>
        </w:tc>
        <w:tc>
          <w:tcPr>
            <w:tcW w:w="3444" w:type="pct"/>
            <w:noWrap w:val="0"/>
            <w:tcMar>
              <w:top w:w="12" w:type="dxa"/>
              <w:left w:w="12" w:type="dxa"/>
              <w:bottom w:w="0" w:type="dxa"/>
              <w:right w:w="12" w:type="dxa"/>
            </w:tcMar>
            <w:vAlign w:val="center"/>
          </w:tcPr>
          <w:p w14:paraId="1B6AE8F7">
            <w:pPr>
              <w:rPr>
                <w:rFonts w:ascii="宋体" w:hAnsi="宋体"/>
              </w:rPr>
            </w:pPr>
            <w:r>
              <w:rPr>
                <w:rFonts w:ascii="宋体" w:hAnsi="宋体"/>
              </w:rPr>
              <w:t>给客户进行产品培训或者解答客户的提问</w:t>
            </w:r>
          </w:p>
        </w:tc>
      </w:tr>
      <w:tr w14:paraId="7224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restart"/>
            <w:noWrap w:val="0"/>
            <w:tcMar>
              <w:top w:w="12" w:type="dxa"/>
              <w:left w:w="12" w:type="dxa"/>
              <w:bottom w:w="0" w:type="dxa"/>
              <w:right w:w="12" w:type="dxa"/>
            </w:tcMar>
            <w:vAlign w:val="center"/>
          </w:tcPr>
          <w:p w14:paraId="09B55CCB">
            <w:pPr>
              <w:jc w:val="center"/>
              <w:rPr>
                <w:rFonts w:ascii="宋体" w:hAnsi="宋体"/>
              </w:rPr>
            </w:pPr>
            <w:r>
              <w:rPr>
                <w:rFonts w:ascii="宋体" w:hAnsi="宋体"/>
              </w:rPr>
              <w:t>应急事件</w:t>
            </w:r>
          </w:p>
        </w:tc>
        <w:tc>
          <w:tcPr>
            <w:tcW w:w="1135" w:type="pct"/>
            <w:noWrap w:val="0"/>
            <w:tcMar>
              <w:top w:w="12" w:type="dxa"/>
              <w:left w:w="12" w:type="dxa"/>
              <w:bottom w:w="0" w:type="dxa"/>
              <w:right w:w="12" w:type="dxa"/>
            </w:tcMar>
            <w:vAlign w:val="center"/>
          </w:tcPr>
          <w:p w14:paraId="3C9D6C44">
            <w:pPr>
              <w:jc w:val="center"/>
              <w:rPr>
                <w:rFonts w:ascii="宋体" w:hAnsi="宋体"/>
              </w:rPr>
            </w:pPr>
            <w:r>
              <w:rPr>
                <w:rFonts w:ascii="宋体" w:hAnsi="宋体"/>
              </w:rPr>
              <w:t>接收/发起应急</w:t>
            </w:r>
          </w:p>
        </w:tc>
        <w:tc>
          <w:tcPr>
            <w:tcW w:w="3444" w:type="pct"/>
            <w:noWrap w:val="0"/>
            <w:tcMar>
              <w:top w:w="12" w:type="dxa"/>
              <w:left w:w="12" w:type="dxa"/>
              <w:bottom w:w="0" w:type="dxa"/>
              <w:right w:w="12" w:type="dxa"/>
            </w:tcMar>
            <w:vAlign w:val="center"/>
          </w:tcPr>
          <w:p w14:paraId="40948E13">
            <w:pPr>
              <w:rPr>
                <w:rFonts w:ascii="宋体" w:hAnsi="宋体"/>
              </w:rPr>
            </w:pPr>
            <w:r>
              <w:rPr>
                <w:rFonts w:ascii="宋体" w:hAnsi="宋体"/>
              </w:rPr>
              <w:t>接收来自用户紧急事件，或主动发现并发起的紧急事件流程</w:t>
            </w:r>
          </w:p>
        </w:tc>
      </w:tr>
      <w:tr w14:paraId="7FFE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vMerge w:val="continue"/>
            <w:noWrap w:val="0"/>
            <w:vAlign w:val="center"/>
          </w:tcPr>
          <w:p w14:paraId="03BB960E">
            <w:pPr>
              <w:ind w:firstLine="420" w:firstLineChars="200"/>
              <w:jc w:val="center"/>
              <w:rPr>
                <w:rFonts w:ascii="宋体" w:hAnsi="宋体"/>
              </w:rPr>
            </w:pPr>
          </w:p>
        </w:tc>
        <w:tc>
          <w:tcPr>
            <w:tcW w:w="1135" w:type="pct"/>
            <w:noWrap w:val="0"/>
            <w:tcMar>
              <w:top w:w="12" w:type="dxa"/>
              <w:left w:w="12" w:type="dxa"/>
              <w:bottom w:w="0" w:type="dxa"/>
              <w:right w:w="12" w:type="dxa"/>
            </w:tcMar>
            <w:vAlign w:val="center"/>
          </w:tcPr>
          <w:p w14:paraId="7932D14A">
            <w:pPr>
              <w:jc w:val="center"/>
              <w:rPr>
                <w:rFonts w:ascii="宋体" w:hAnsi="宋体"/>
              </w:rPr>
            </w:pPr>
            <w:r>
              <w:rPr>
                <w:rFonts w:ascii="宋体" w:hAnsi="宋体"/>
              </w:rPr>
              <w:t>应急方案执行</w:t>
            </w:r>
          </w:p>
        </w:tc>
        <w:tc>
          <w:tcPr>
            <w:tcW w:w="3444" w:type="pct"/>
            <w:noWrap w:val="0"/>
            <w:tcMar>
              <w:top w:w="12" w:type="dxa"/>
              <w:left w:w="12" w:type="dxa"/>
              <w:bottom w:w="0" w:type="dxa"/>
              <w:right w:w="12" w:type="dxa"/>
            </w:tcMar>
            <w:vAlign w:val="center"/>
          </w:tcPr>
          <w:p w14:paraId="584E1990">
            <w:pPr>
              <w:rPr>
                <w:rFonts w:ascii="宋体" w:hAnsi="宋体"/>
              </w:rPr>
            </w:pPr>
            <w:r>
              <w:rPr>
                <w:rFonts w:ascii="宋体" w:hAnsi="宋体"/>
              </w:rPr>
              <w:t>做为一线</w:t>
            </w:r>
            <w:r>
              <w:rPr>
                <w:rFonts w:hint="eastAsia" w:ascii="宋体" w:hAnsi="宋体"/>
              </w:rPr>
              <w:t>协商好的</w:t>
            </w:r>
            <w:r>
              <w:rPr>
                <w:rFonts w:ascii="宋体" w:hAnsi="宋体"/>
              </w:rPr>
              <w:t>提供的应急处理方案，并具体执行</w:t>
            </w:r>
          </w:p>
        </w:tc>
      </w:tr>
      <w:tr w14:paraId="37B6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21" w:type="pct"/>
            <w:noWrap w:val="0"/>
            <w:tcMar>
              <w:top w:w="12" w:type="dxa"/>
              <w:left w:w="12" w:type="dxa"/>
              <w:bottom w:w="0" w:type="dxa"/>
              <w:right w:w="12" w:type="dxa"/>
            </w:tcMar>
            <w:vAlign w:val="center"/>
          </w:tcPr>
          <w:p w14:paraId="2FB76DD8">
            <w:pPr>
              <w:jc w:val="center"/>
              <w:rPr>
                <w:rFonts w:ascii="宋体" w:hAnsi="宋体"/>
              </w:rPr>
            </w:pPr>
            <w:r>
              <w:rPr>
                <w:rFonts w:ascii="宋体" w:hAnsi="宋体"/>
              </w:rPr>
              <w:t>其他杂项</w:t>
            </w:r>
          </w:p>
        </w:tc>
        <w:tc>
          <w:tcPr>
            <w:tcW w:w="1135" w:type="pct"/>
            <w:noWrap w:val="0"/>
            <w:tcMar>
              <w:top w:w="12" w:type="dxa"/>
              <w:left w:w="12" w:type="dxa"/>
              <w:bottom w:w="0" w:type="dxa"/>
              <w:right w:w="12" w:type="dxa"/>
            </w:tcMar>
            <w:vAlign w:val="center"/>
          </w:tcPr>
          <w:p w14:paraId="72DFEE81">
            <w:pPr>
              <w:jc w:val="center"/>
              <w:rPr>
                <w:rFonts w:ascii="宋体" w:hAnsi="宋体"/>
              </w:rPr>
            </w:pPr>
            <w:r>
              <w:rPr>
                <w:rFonts w:ascii="宋体" w:hAnsi="宋体"/>
              </w:rPr>
              <w:t>其他、会议</w:t>
            </w:r>
          </w:p>
        </w:tc>
        <w:tc>
          <w:tcPr>
            <w:tcW w:w="3444" w:type="pct"/>
            <w:noWrap w:val="0"/>
            <w:tcMar>
              <w:top w:w="12" w:type="dxa"/>
              <w:left w:w="12" w:type="dxa"/>
              <w:bottom w:w="0" w:type="dxa"/>
              <w:right w:w="12" w:type="dxa"/>
            </w:tcMar>
            <w:vAlign w:val="center"/>
          </w:tcPr>
          <w:p w14:paraId="2941335C">
            <w:pPr>
              <w:rPr>
                <w:rFonts w:ascii="宋体" w:hAnsi="宋体"/>
              </w:rPr>
            </w:pPr>
            <w:r>
              <w:rPr>
                <w:rFonts w:ascii="宋体" w:hAnsi="宋体"/>
              </w:rPr>
              <w:t>其他、参加会议等</w:t>
            </w:r>
          </w:p>
        </w:tc>
      </w:tr>
    </w:tbl>
    <w:p w14:paraId="47F2B75B">
      <w:pPr>
        <w:tabs>
          <w:tab w:val="left" w:pos="510"/>
          <w:tab w:val="left" w:pos="540"/>
          <w:tab w:val="left" w:pos="993"/>
          <w:tab w:val="left" w:pos="1134"/>
        </w:tabs>
        <w:adjustRightInd w:val="0"/>
        <w:spacing w:line="360" w:lineRule="auto"/>
        <w:ind w:left="420" w:leftChars="200"/>
        <w:rPr>
          <w:rFonts w:hint="eastAsia" w:ascii="宋体" w:hAnsi="宋体"/>
          <w:b/>
          <w:szCs w:val="21"/>
        </w:rPr>
      </w:pPr>
      <w:r>
        <w:rPr>
          <w:rFonts w:hint="eastAsia" w:ascii="宋体" w:hAnsi="宋体"/>
          <w:b/>
          <w:szCs w:val="21"/>
        </w:rPr>
        <w:t>1.4.3终端安全管理服务交付物</w:t>
      </w:r>
    </w:p>
    <w:p w14:paraId="0229F3D4">
      <w:pPr>
        <w:ind w:firstLine="420" w:firstLineChars="200"/>
        <w:rPr>
          <w:rFonts w:ascii="宋体" w:hAnsi="宋体"/>
          <w:szCs w:val="21"/>
        </w:rPr>
      </w:pPr>
      <w:r>
        <w:rPr>
          <w:rFonts w:hint="eastAsia" w:ascii="宋体" w:hAnsi="宋体"/>
          <w:szCs w:val="21"/>
        </w:rPr>
        <w:t>提供《终端安全管理系统月/年度运维报告》</w:t>
      </w:r>
    </w:p>
    <w:p w14:paraId="1D68B96D">
      <w:pPr>
        <w:tabs>
          <w:tab w:val="left" w:pos="510"/>
          <w:tab w:val="left" w:pos="540"/>
          <w:tab w:val="left" w:pos="993"/>
        </w:tabs>
        <w:adjustRightInd w:val="0"/>
        <w:spacing w:line="360" w:lineRule="auto"/>
        <w:ind w:left="426" w:leftChars="203"/>
        <w:rPr>
          <w:rFonts w:ascii="宋体" w:hAnsi="宋体"/>
          <w:b/>
          <w:szCs w:val="21"/>
        </w:rPr>
      </w:pPr>
      <w:r>
        <w:rPr>
          <w:rFonts w:hint="eastAsia" w:ascii="宋体" w:hAnsi="宋体"/>
          <w:b/>
          <w:szCs w:val="21"/>
        </w:rPr>
        <w:t>1.</w:t>
      </w:r>
      <w:r>
        <w:rPr>
          <w:rFonts w:ascii="宋体" w:hAnsi="宋体"/>
          <w:b/>
          <w:szCs w:val="21"/>
        </w:rPr>
        <w:t>5</w:t>
      </w:r>
      <w:r>
        <w:rPr>
          <w:rFonts w:hint="eastAsia" w:ascii="宋体" w:hAnsi="宋体"/>
          <w:b/>
          <w:szCs w:val="21"/>
        </w:rPr>
        <w:t>渗透测试服务</w:t>
      </w:r>
    </w:p>
    <w:p w14:paraId="199E3561">
      <w:pPr>
        <w:tabs>
          <w:tab w:val="left" w:pos="510"/>
          <w:tab w:val="left" w:pos="540"/>
          <w:tab w:val="left" w:pos="993"/>
          <w:tab w:val="left" w:pos="1134"/>
        </w:tabs>
        <w:adjustRightInd w:val="0"/>
        <w:spacing w:line="360" w:lineRule="auto"/>
        <w:ind w:left="420" w:leftChars="200" w:firstLine="0" w:firstLineChars="0"/>
        <w:rPr>
          <w:rFonts w:ascii="宋体" w:hAnsi="宋体"/>
          <w:b/>
          <w:szCs w:val="21"/>
        </w:rPr>
      </w:pPr>
      <w:r>
        <w:rPr>
          <w:rFonts w:hint="eastAsia" w:ascii="宋体" w:hAnsi="宋体"/>
          <w:b/>
          <w:szCs w:val="21"/>
        </w:rPr>
        <w:t>1</w:t>
      </w:r>
      <w:r>
        <w:rPr>
          <w:rFonts w:ascii="宋体" w:hAnsi="宋体"/>
          <w:b/>
          <w:szCs w:val="21"/>
        </w:rPr>
        <w:t>.5.1</w:t>
      </w:r>
      <w:r>
        <w:rPr>
          <w:rFonts w:hint="eastAsia" w:ascii="宋体" w:hAnsi="宋体"/>
          <w:b/>
          <w:szCs w:val="21"/>
        </w:rPr>
        <w:t>服务内容</w:t>
      </w:r>
    </w:p>
    <w:p w14:paraId="1CDCBC72">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对佛山大学官网网站的开展多维度渗透测试，重点检测SQL注入、跨站脚本（XSS）、文件上传漏洞、命令注入等常见Web安全漏洞，挖掘网站潜在的安全隐患。</w:t>
      </w:r>
    </w:p>
    <w:p w14:paraId="01E8BEFE">
      <w:pPr>
        <w:tabs>
          <w:tab w:val="left" w:pos="510"/>
          <w:tab w:val="left" w:pos="540"/>
          <w:tab w:val="left" w:pos="993"/>
          <w:tab w:val="left" w:pos="1134"/>
        </w:tabs>
        <w:adjustRightInd w:val="0"/>
        <w:spacing w:line="360" w:lineRule="auto"/>
        <w:ind w:left="420" w:leftChars="200" w:firstLine="0" w:firstLineChars="0"/>
        <w:rPr>
          <w:rFonts w:ascii="宋体" w:hAnsi="宋体"/>
          <w:b/>
          <w:szCs w:val="21"/>
        </w:rPr>
      </w:pPr>
      <w:r>
        <w:rPr>
          <w:rFonts w:hint="eastAsia" w:ascii="宋体" w:hAnsi="宋体"/>
          <w:b/>
          <w:szCs w:val="21"/>
        </w:rPr>
        <w:t>1</w:t>
      </w:r>
      <w:r>
        <w:rPr>
          <w:rFonts w:ascii="宋体" w:hAnsi="宋体"/>
          <w:b/>
          <w:szCs w:val="21"/>
        </w:rPr>
        <w:t>.5.2</w:t>
      </w:r>
      <w:r>
        <w:rPr>
          <w:rFonts w:hint="eastAsia" w:ascii="宋体" w:hAnsi="宋体"/>
          <w:b/>
          <w:szCs w:val="21"/>
        </w:rPr>
        <w:t>服务流程</w:t>
      </w:r>
    </w:p>
    <w:p w14:paraId="29A14F89">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1）信息收集与分析</w:t>
      </w:r>
    </w:p>
    <w:p w14:paraId="56C165F7">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在测试前期，收集学校网站的基本信息，包括域名、IP 地址、网站架构、服务器类型等，并对收集到的信息进行详细分析，为后续的测试工作提供依据。</w:t>
      </w:r>
    </w:p>
    <w:p w14:paraId="32FEED55">
      <w:pPr>
        <w:tabs>
          <w:tab w:val="left" w:pos="510"/>
          <w:tab w:val="left" w:pos="540"/>
        </w:tabs>
        <w:adjustRightInd w:val="0"/>
        <w:spacing w:line="360" w:lineRule="auto"/>
        <w:ind w:firstLine="420" w:firstLineChars="200"/>
        <w:rPr>
          <w:rFonts w:hint="eastAsia" w:ascii="宋体" w:hAnsi="宋体"/>
        </w:rPr>
      </w:pPr>
      <w:r>
        <w:rPr>
          <w:rFonts w:ascii="宋体" w:hAnsi="宋体"/>
        </w:rPr>
        <w:t>2</w:t>
      </w:r>
      <w:r>
        <w:rPr>
          <w:rFonts w:hint="eastAsia" w:ascii="宋体" w:hAnsi="宋体"/>
        </w:rPr>
        <w:t>）漏洞扫描</w:t>
      </w:r>
    </w:p>
    <w:p w14:paraId="217F3AA5">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使用专业的漏洞扫描工具对学校网站进行全面扫描，快速发现常见的安全漏洞。在扫描过程中，严格遵循学校的安全策略与法律法规，避免对网站正常运行造成影响。</w:t>
      </w:r>
    </w:p>
    <w:p w14:paraId="092B9CEF">
      <w:pPr>
        <w:tabs>
          <w:tab w:val="left" w:pos="510"/>
          <w:tab w:val="left" w:pos="540"/>
        </w:tabs>
        <w:adjustRightInd w:val="0"/>
        <w:spacing w:line="360" w:lineRule="auto"/>
        <w:ind w:firstLine="420" w:firstLineChars="200"/>
        <w:rPr>
          <w:rFonts w:hint="eastAsia" w:ascii="宋体" w:hAnsi="宋体"/>
        </w:rPr>
      </w:pPr>
      <w:r>
        <w:rPr>
          <w:rFonts w:ascii="宋体" w:hAnsi="宋体"/>
        </w:rPr>
        <w:t>3</w:t>
      </w:r>
      <w:r>
        <w:rPr>
          <w:rFonts w:hint="eastAsia" w:ascii="宋体" w:hAnsi="宋体"/>
        </w:rPr>
        <w:t>）人工验证</w:t>
      </w:r>
    </w:p>
    <w:p w14:paraId="1C3655C2">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对于扫描发现的疑似漏洞，通过人工验证的方式进行确认，排除误报情况。人工验证采用手动测试的方法，模拟黑客的攻击手段，深入挖掘网站的安全隐患。</w:t>
      </w:r>
    </w:p>
    <w:p w14:paraId="7AF17429">
      <w:pPr>
        <w:tabs>
          <w:tab w:val="left" w:pos="510"/>
          <w:tab w:val="left" w:pos="540"/>
        </w:tabs>
        <w:adjustRightInd w:val="0"/>
        <w:spacing w:line="360" w:lineRule="auto"/>
        <w:ind w:firstLine="420" w:firstLineChars="200"/>
        <w:rPr>
          <w:rFonts w:hint="eastAsia" w:ascii="宋体" w:hAnsi="宋体"/>
        </w:rPr>
      </w:pPr>
      <w:r>
        <w:rPr>
          <w:rFonts w:ascii="宋体" w:hAnsi="宋体"/>
        </w:rPr>
        <w:t>4</w:t>
      </w:r>
      <w:r>
        <w:rPr>
          <w:rFonts w:hint="eastAsia" w:ascii="宋体" w:hAnsi="宋体"/>
        </w:rPr>
        <w:t>）漏洞修复建议</w:t>
      </w:r>
    </w:p>
    <w:p w14:paraId="3EAB05E4">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在发现网站存在安全漏洞后，为学校提供详细的漏洞修复建议，包括漏洞的危害程度、修复方法、修复步骤等，帮助学校尽快修复漏洞，提升网站的安全性。</w:t>
      </w:r>
    </w:p>
    <w:p w14:paraId="7E6C6235">
      <w:pPr>
        <w:tabs>
          <w:tab w:val="left" w:pos="510"/>
          <w:tab w:val="left" w:pos="540"/>
        </w:tabs>
        <w:adjustRightInd w:val="0"/>
        <w:spacing w:line="360" w:lineRule="auto"/>
        <w:ind w:firstLine="420" w:firstLineChars="200"/>
        <w:rPr>
          <w:rFonts w:hint="eastAsia" w:ascii="宋体" w:hAnsi="宋体"/>
        </w:rPr>
      </w:pPr>
      <w:r>
        <w:rPr>
          <w:rFonts w:ascii="宋体" w:hAnsi="宋体"/>
        </w:rPr>
        <w:t>5</w:t>
      </w:r>
      <w:r>
        <w:rPr>
          <w:rFonts w:hint="eastAsia" w:ascii="宋体" w:hAnsi="宋体"/>
        </w:rPr>
        <w:t>）复测与总结</w:t>
      </w:r>
    </w:p>
    <w:p w14:paraId="30BF4787">
      <w:pPr>
        <w:tabs>
          <w:tab w:val="left" w:pos="510"/>
          <w:tab w:val="left" w:pos="540"/>
        </w:tabs>
        <w:adjustRightInd w:val="0"/>
        <w:spacing w:line="360" w:lineRule="auto"/>
        <w:ind w:firstLine="420" w:firstLineChars="200"/>
        <w:rPr>
          <w:rFonts w:ascii="宋体" w:hAnsi="宋体"/>
        </w:rPr>
      </w:pPr>
      <w:r>
        <w:rPr>
          <w:rFonts w:hint="eastAsia" w:ascii="宋体" w:hAnsi="宋体"/>
        </w:rPr>
        <w:t>在学校完成漏洞修复后，对网站进行复测，确保漏洞已被成功修复。最后，对整个渗透测试过程进行总结，为学校提供全面的渗透测试报告。</w:t>
      </w:r>
    </w:p>
    <w:p w14:paraId="27FE3EAE">
      <w:pPr>
        <w:tabs>
          <w:tab w:val="left" w:pos="510"/>
          <w:tab w:val="left" w:pos="540"/>
          <w:tab w:val="left" w:pos="993"/>
          <w:tab w:val="left" w:pos="1134"/>
        </w:tabs>
        <w:adjustRightInd w:val="0"/>
        <w:spacing w:line="360" w:lineRule="auto"/>
        <w:ind w:left="420" w:leftChars="200" w:firstLine="0" w:firstLineChars="0"/>
        <w:rPr>
          <w:rFonts w:ascii="宋体" w:hAnsi="宋体"/>
          <w:b/>
          <w:szCs w:val="21"/>
        </w:rPr>
      </w:pPr>
      <w:r>
        <w:rPr>
          <w:rFonts w:hint="eastAsia" w:ascii="宋体" w:hAnsi="宋体"/>
          <w:b/>
          <w:szCs w:val="21"/>
        </w:rPr>
        <w:t>1</w:t>
      </w:r>
      <w:r>
        <w:rPr>
          <w:rFonts w:ascii="宋体" w:hAnsi="宋体"/>
          <w:b/>
          <w:szCs w:val="21"/>
        </w:rPr>
        <w:t>.5.3</w:t>
      </w:r>
      <w:r>
        <w:rPr>
          <w:rFonts w:hint="eastAsia" w:ascii="宋体" w:hAnsi="宋体"/>
          <w:b/>
          <w:szCs w:val="21"/>
        </w:rPr>
        <w:t>服务交付物</w:t>
      </w:r>
    </w:p>
    <w:p w14:paraId="5CEDE26B">
      <w:pPr>
        <w:pStyle w:val="2"/>
        <w:rPr>
          <w:rFonts w:hint="eastAsia" w:ascii="Times New Roman" w:hAnsi="Times New Roman"/>
          <w:szCs w:val="20"/>
        </w:rPr>
      </w:pPr>
      <w:r>
        <w:rPr>
          <w:rFonts w:hint="eastAsia"/>
        </w:rPr>
        <w:t>《系统渗透测试报告》</w:t>
      </w:r>
    </w:p>
    <w:p w14:paraId="2B36A1DC">
      <w:pPr>
        <w:tabs>
          <w:tab w:val="left" w:pos="510"/>
          <w:tab w:val="left" w:pos="540"/>
          <w:tab w:val="left" w:pos="993"/>
          <w:tab w:val="left" w:pos="1134"/>
        </w:tabs>
        <w:adjustRightInd w:val="0"/>
        <w:spacing w:line="360" w:lineRule="auto"/>
        <w:ind w:left="420" w:leftChars="200"/>
        <w:rPr>
          <w:rFonts w:hint="eastAsia" w:ascii="宋体" w:hAnsi="宋体" w:cs="Times New Roman"/>
          <w:b/>
          <w:szCs w:val="21"/>
        </w:rPr>
      </w:pPr>
      <w:bookmarkStart w:id="24" w:name="_Toc16741"/>
      <w:bookmarkStart w:id="25" w:name="_Toc19694"/>
      <w:bookmarkStart w:id="26" w:name="_Toc2179"/>
      <w:bookmarkStart w:id="27" w:name="_Toc23799"/>
      <w:bookmarkStart w:id="28" w:name="_Toc31980"/>
      <w:r>
        <w:rPr>
          <w:rFonts w:hint="eastAsia" w:ascii="宋体" w:hAnsi="宋体" w:cs="Times New Roman"/>
          <w:b/>
          <w:szCs w:val="21"/>
        </w:rPr>
        <w:t>1.</w:t>
      </w:r>
      <w:r>
        <w:rPr>
          <w:rFonts w:ascii="宋体" w:hAnsi="宋体"/>
          <w:b/>
          <w:szCs w:val="21"/>
        </w:rPr>
        <w:t>6</w:t>
      </w:r>
      <w:r>
        <w:rPr>
          <w:rFonts w:hint="eastAsia" w:ascii="宋体" w:hAnsi="宋体" w:cs="Times New Roman"/>
          <w:b/>
          <w:szCs w:val="21"/>
        </w:rPr>
        <w:t>驻场人员</w:t>
      </w:r>
      <w:bookmarkEnd w:id="24"/>
      <w:r>
        <w:rPr>
          <w:rFonts w:hint="eastAsia" w:ascii="宋体" w:hAnsi="宋体" w:cs="Times New Roman"/>
          <w:b/>
          <w:szCs w:val="21"/>
        </w:rPr>
        <w:t>要求</w:t>
      </w:r>
      <w:bookmarkEnd w:id="25"/>
      <w:bookmarkEnd w:id="26"/>
      <w:bookmarkEnd w:id="27"/>
      <w:bookmarkEnd w:id="28"/>
    </w:p>
    <w:p w14:paraId="27AA30FB">
      <w:pPr>
        <w:tabs>
          <w:tab w:val="left" w:pos="510"/>
          <w:tab w:val="left" w:pos="540"/>
          <w:tab w:val="left" w:pos="993"/>
          <w:tab w:val="left" w:pos="1134"/>
        </w:tabs>
        <w:adjustRightInd w:val="0"/>
        <w:spacing w:line="360" w:lineRule="auto"/>
        <w:ind w:left="420" w:leftChars="200"/>
        <w:rPr>
          <w:rFonts w:ascii="宋体" w:hAnsi="宋体"/>
          <w:b/>
          <w:szCs w:val="21"/>
        </w:rPr>
      </w:pPr>
      <w:bookmarkStart w:id="29" w:name="_Toc2701"/>
      <w:r>
        <w:rPr>
          <w:rFonts w:hint="eastAsia" w:ascii="宋体" w:hAnsi="宋体"/>
          <w:b/>
          <w:szCs w:val="21"/>
        </w:rPr>
        <w:t>1.</w:t>
      </w:r>
      <w:r>
        <w:rPr>
          <w:rFonts w:ascii="宋体" w:hAnsi="宋体"/>
          <w:b/>
          <w:szCs w:val="21"/>
        </w:rPr>
        <w:t>6</w:t>
      </w:r>
      <w:r>
        <w:rPr>
          <w:rFonts w:hint="eastAsia" w:ascii="宋体" w:hAnsi="宋体"/>
          <w:b/>
          <w:szCs w:val="21"/>
        </w:rPr>
        <w:t>.1驻场服务的工作内容</w:t>
      </w:r>
      <w:bookmarkEnd w:id="29"/>
    </w:p>
    <w:p w14:paraId="249EF3D5">
      <w:pPr>
        <w:tabs>
          <w:tab w:val="left" w:pos="510"/>
          <w:tab w:val="left" w:pos="540"/>
        </w:tabs>
        <w:adjustRightInd w:val="0"/>
        <w:spacing w:line="360" w:lineRule="auto"/>
        <w:ind w:firstLine="420" w:firstLineChars="200"/>
        <w:rPr>
          <w:rFonts w:ascii="宋体" w:hAnsi="宋体"/>
        </w:rPr>
      </w:pPr>
      <w:r>
        <w:rPr>
          <w:rFonts w:hint="eastAsia" w:ascii="宋体" w:hAnsi="宋体"/>
        </w:rPr>
        <w:t>1）</w:t>
      </w:r>
      <w:r>
        <w:rPr>
          <w:rFonts w:ascii="宋体" w:hAnsi="宋体"/>
        </w:rPr>
        <w:t>负责</w:t>
      </w:r>
      <w:r>
        <w:rPr>
          <w:rFonts w:hint="eastAsia" w:ascii="宋体" w:hAnsi="宋体"/>
        </w:rPr>
        <w:t>日常探针设备运维；I</w:t>
      </w:r>
      <w:r>
        <w:rPr>
          <w:rFonts w:ascii="宋体" w:hAnsi="宋体"/>
        </w:rPr>
        <w:t>T</w:t>
      </w:r>
      <w:r>
        <w:rPr>
          <w:rFonts w:hint="eastAsia" w:ascii="宋体" w:hAnsi="宋体"/>
        </w:rPr>
        <w:t>硬件、软件、协议漏洞等安全问题的处理；</w:t>
      </w:r>
      <w:r>
        <w:rPr>
          <w:rFonts w:ascii="宋体" w:hAnsi="宋体"/>
        </w:rPr>
        <w:t>安全设备及安全检测系统的日常运维，包括运行状态巡检、检测；对安全设备及安全监测系统的策略调优</w:t>
      </w:r>
      <w:r>
        <w:rPr>
          <w:rFonts w:hint="eastAsia" w:ascii="宋体" w:hAnsi="宋体"/>
        </w:rPr>
        <w:t>等工作。</w:t>
      </w:r>
    </w:p>
    <w:p w14:paraId="4DD56D6E">
      <w:pPr>
        <w:tabs>
          <w:tab w:val="left" w:pos="510"/>
          <w:tab w:val="left" w:pos="540"/>
        </w:tabs>
        <w:adjustRightInd w:val="0"/>
        <w:spacing w:line="360" w:lineRule="auto"/>
        <w:ind w:firstLine="420" w:firstLineChars="200"/>
        <w:rPr>
          <w:rFonts w:ascii="宋体" w:hAnsi="宋体"/>
        </w:rPr>
      </w:pPr>
      <w:r>
        <w:rPr>
          <w:rFonts w:hint="eastAsia" w:ascii="宋体" w:hAnsi="宋体"/>
        </w:rPr>
        <w:t>2）</w:t>
      </w:r>
      <w:r>
        <w:rPr>
          <w:rFonts w:ascii="宋体" w:hAnsi="宋体"/>
        </w:rPr>
        <w:t>协助</w:t>
      </w:r>
      <w:r>
        <w:rPr>
          <w:rFonts w:hint="eastAsia" w:ascii="宋体" w:hAnsi="宋体"/>
        </w:rPr>
        <w:t>学校</w:t>
      </w:r>
      <w:r>
        <w:rPr>
          <w:rFonts w:ascii="宋体" w:hAnsi="宋体"/>
        </w:rPr>
        <w:t>进行应急预案</w:t>
      </w:r>
      <w:r>
        <w:rPr>
          <w:rFonts w:hint="eastAsia" w:ascii="宋体" w:hAnsi="宋体"/>
        </w:rPr>
        <w:t>实施及</w:t>
      </w:r>
      <w:r>
        <w:rPr>
          <w:rFonts w:ascii="宋体" w:hAnsi="宋体"/>
        </w:rPr>
        <w:t>安全体系建设的补充完善。</w:t>
      </w:r>
    </w:p>
    <w:p w14:paraId="2BCA915D">
      <w:pPr>
        <w:tabs>
          <w:tab w:val="left" w:pos="510"/>
          <w:tab w:val="left" w:pos="540"/>
        </w:tabs>
        <w:adjustRightInd w:val="0"/>
        <w:spacing w:line="360" w:lineRule="auto"/>
        <w:ind w:firstLine="420" w:firstLineChars="200"/>
        <w:rPr>
          <w:rFonts w:ascii="宋体" w:hAnsi="宋体"/>
        </w:rPr>
      </w:pPr>
      <w:r>
        <w:rPr>
          <w:rFonts w:hint="eastAsia" w:ascii="宋体" w:hAnsi="宋体"/>
        </w:rPr>
        <w:t>3）</w:t>
      </w:r>
      <w:r>
        <w:rPr>
          <w:rFonts w:ascii="宋体" w:hAnsi="宋体"/>
        </w:rPr>
        <w:t>对外部发生的信息安全事件快速分析，提供处置方案实施</w:t>
      </w:r>
      <w:r>
        <w:rPr>
          <w:rFonts w:hint="eastAsia" w:ascii="宋体" w:hAnsi="宋体"/>
        </w:rPr>
        <w:t>。</w:t>
      </w:r>
    </w:p>
    <w:p w14:paraId="1B44BC4E">
      <w:pPr>
        <w:tabs>
          <w:tab w:val="left" w:pos="510"/>
          <w:tab w:val="left" w:pos="540"/>
        </w:tabs>
        <w:adjustRightInd w:val="0"/>
        <w:spacing w:line="360" w:lineRule="auto"/>
        <w:ind w:firstLine="420" w:firstLineChars="200"/>
        <w:rPr>
          <w:rFonts w:ascii="宋体" w:hAnsi="宋体"/>
        </w:rPr>
      </w:pPr>
      <w:r>
        <w:rPr>
          <w:rFonts w:hint="eastAsia" w:ascii="宋体" w:hAnsi="宋体"/>
        </w:rPr>
        <w:t>4）</w:t>
      </w:r>
      <w:r>
        <w:rPr>
          <w:rFonts w:ascii="宋体" w:hAnsi="宋体"/>
        </w:rPr>
        <w:t>协助</w:t>
      </w:r>
      <w:r>
        <w:rPr>
          <w:rFonts w:hint="eastAsia" w:ascii="宋体" w:hAnsi="宋体"/>
        </w:rPr>
        <w:t>本单位</w:t>
      </w:r>
      <w:r>
        <w:rPr>
          <w:rFonts w:ascii="宋体" w:hAnsi="宋体"/>
        </w:rPr>
        <w:t>的安全管理人员进行其他网络及信息安全相关工作。</w:t>
      </w:r>
    </w:p>
    <w:p w14:paraId="5B2AB93E">
      <w:pPr>
        <w:tabs>
          <w:tab w:val="left" w:pos="510"/>
          <w:tab w:val="left" w:pos="540"/>
        </w:tabs>
        <w:adjustRightInd w:val="0"/>
        <w:spacing w:line="360" w:lineRule="auto"/>
        <w:ind w:firstLine="420" w:firstLineChars="200"/>
        <w:rPr>
          <w:rFonts w:ascii="宋体" w:hAnsi="宋体"/>
        </w:rPr>
      </w:pPr>
      <w:r>
        <w:rPr>
          <w:rFonts w:hint="eastAsia" w:ascii="宋体" w:hAnsi="宋体"/>
        </w:rPr>
        <w:t>5）向本单位的安全管理人员提供安全通告。</w:t>
      </w:r>
    </w:p>
    <w:p w14:paraId="0F6E50A6">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6）驻场人员根据每周的工作提交运营值守工作周报，月度讲周报总结成月度报告。</w:t>
      </w:r>
    </w:p>
    <w:p w14:paraId="1F91C128">
      <w:pPr>
        <w:tabs>
          <w:tab w:val="left" w:pos="510"/>
          <w:tab w:val="left" w:pos="540"/>
          <w:tab w:val="left" w:pos="993"/>
          <w:tab w:val="left" w:pos="1134"/>
        </w:tabs>
        <w:adjustRightInd w:val="0"/>
        <w:spacing w:line="360" w:lineRule="auto"/>
        <w:ind w:left="420" w:leftChars="200"/>
        <w:rPr>
          <w:rFonts w:hint="eastAsia" w:ascii="宋体" w:hAnsi="宋体"/>
          <w:b/>
        </w:rPr>
      </w:pPr>
      <w:bookmarkStart w:id="30" w:name="_Toc29827"/>
      <w:r>
        <w:rPr>
          <w:rFonts w:hint="eastAsia" w:ascii="宋体" w:hAnsi="宋体"/>
          <w:b/>
        </w:rPr>
        <w:t>1.</w:t>
      </w:r>
      <w:r>
        <w:rPr>
          <w:rFonts w:ascii="宋体" w:hAnsi="宋体"/>
          <w:b/>
        </w:rPr>
        <w:t>6</w:t>
      </w:r>
      <w:r>
        <w:rPr>
          <w:rFonts w:hint="eastAsia" w:ascii="宋体" w:hAnsi="宋体"/>
          <w:b/>
        </w:rPr>
        <w:t>.2驻场服务工程师要求</w:t>
      </w:r>
      <w:bookmarkEnd w:id="30"/>
    </w:p>
    <w:p w14:paraId="5F0851B8">
      <w:pPr>
        <w:tabs>
          <w:tab w:val="left" w:pos="510"/>
          <w:tab w:val="left" w:pos="540"/>
        </w:tabs>
        <w:adjustRightInd w:val="0"/>
        <w:spacing w:line="360" w:lineRule="auto"/>
        <w:ind w:firstLine="420" w:firstLineChars="200"/>
        <w:rPr>
          <w:rFonts w:hint="eastAsia" w:ascii="宋体" w:hAnsi="宋体" w:cs="仿宋_GB2312"/>
          <w:szCs w:val="28"/>
        </w:rPr>
      </w:pPr>
      <w:r>
        <w:rPr>
          <w:rFonts w:hint="eastAsia" w:ascii="宋体" w:hAnsi="宋体" w:cs="仿宋_GB2312"/>
          <w:szCs w:val="28"/>
        </w:rPr>
        <w:t>中标人须安排1名服务工程师驻场。</w:t>
      </w:r>
    </w:p>
    <w:p w14:paraId="10C6030D">
      <w:pPr>
        <w:tabs>
          <w:tab w:val="left" w:pos="510"/>
          <w:tab w:val="left" w:pos="540"/>
        </w:tabs>
        <w:adjustRightInd w:val="0"/>
        <w:spacing w:line="360" w:lineRule="auto"/>
        <w:ind w:firstLine="422" w:firstLineChars="200"/>
        <w:rPr>
          <w:rFonts w:hint="eastAsia"/>
        </w:rPr>
      </w:pPr>
      <w:r>
        <w:rPr>
          <w:rFonts w:hint="eastAsia" w:ascii="宋体" w:hAnsi="宋体"/>
          <w:b/>
        </w:rPr>
        <w:t>驻场服务工程师</w:t>
      </w:r>
      <w:r>
        <w:rPr>
          <w:rFonts w:hint="eastAsia" w:ascii="宋体" w:hAnsi="宋体" w:cs="仿宋_GB2312"/>
          <w:szCs w:val="28"/>
        </w:rPr>
        <w:t>资质要求：具备5年以上行业从业经验，信息安全基础能力、网络运维能力、漏洞管理、渗透测试、安全设备调试能力，具有</w:t>
      </w:r>
      <w:r>
        <w:rPr>
          <w:rFonts w:ascii="宋体" w:hAnsi="宋体" w:cs="宋体"/>
          <w:szCs w:val="21"/>
        </w:rPr>
        <w:t>注册信息安全工程师（CISE）</w:t>
      </w:r>
      <w:r>
        <w:rPr>
          <w:rFonts w:hint="eastAsia" w:ascii="宋体" w:hAnsi="宋体" w:cs="宋体"/>
          <w:szCs w:val="21"/>
        </w:rPr>
        <w:t>证书，</w:t>
      </w:r>
      <w:r>
        <w:rPr>
          <w:rFonts w:hint="eastAsia" w:ascii="宋体" w:hAnsi="宋体" w:cs="仿宋_GB2312"/>
          <w:szCs w:val="28"/>
          <w:highlight w:val="yellow"/>
        </w:rPr>
        <w:t>具有数通厂商的认证体系中的中级或以上认证</w:t>
      </w:r>
      <w:r>
        <w:rPr>
          <w:rFonts w:hint="eastAsia" w:ascii="宋体" w:hAnsi="宋体" w:cs="仿宋_GB2312"/>
          <w:szCs w:val="28"/>
        </w:rPr>
        <w:t>，具有</w:t>
      </w:r>
      <w:r>
        <w:rPr>
          <w:rFonts w:ascii="宋体" w:hAnsi="宋体" w:cs="宋体"/>
          <w:szCs w:val="21"/>
        </w:rPr>
        <w:t>注册渗透测试专家（CISP-PTS）</w:t>
      </w:r>
      <w:r>
        <w:rPr>
          <w:rFonts w:hint="eastAsia" w:ascii="宋体" w:hAnsi="宋体" w:cs="宋体"/>
          <w:szCs w:val="21"/>
        </w:rPr>
        <w:t>证书</w:t>
      </w:r>
      <w:r>
        <w:rPr>
          <w:rFonts w:hint="eastAsia" w:ascii="宋体" w:hAnsi="宋体" w:cs="仿宋_GB2312"/>
          <w:szCs w:val="28"/>
          <w:highlight w:val="none"/>
        </w:rPr>
        <w:t>。</w:t>
      </w:r>
      <w:r>
        <w:rPr>
          <w:rFonts w:hint="eastAsia" w:ascii="宋体" w:hAnsi="宋体" w:cs="仿宋_GB2312"/>
          <w:szCs w:val="28"/>
        </w:rPr>
        <w:t>非原厂的驻厂人员，需要提前向佛山大学信息与教育技术中心报备，经考核符合要求，取得信息与教育技术中心的书面的资质认可函。</w:t>
      </w:r>
    </w:p>
    <w:p w14:paraId="4EE0FE5B">
      <w:pPr>
        <w:tabs>
          <w:tab w:val="left" w:pos="510"/>
          <w:tab w:val="left" w:pos="540"/>
          <w:tab w:val="left" w:pos="993"/>
          <w:tab w:val="left" w:pos="1134"/>
        </w:tabs>
        <w:adjustRightInd w:val="0"/>
        <w:spacing w:line="360" w:lineRule="auto"/>
        <w:ind w:left="420" w:leftChars="200"/>
        <w:rPr>
          <w:rFonts w:hint="eastAsia" w:ascii="宋体" w:hAnsi="宋体"/>
          <w:b/>
        </w:rPr>
      </w:pPr>
      <w:bookmarkStart w:id="31" w:name="_Toc16900"/>
      <w:r>
        <w:rPr>
          <w:rFonts w:hint="eastAsia" w:ascii="宋体" w:hAnsi="宋体"/>
          <w:b/>
        </w:rPr>
        <w:t>1.</w:t>
      </w:r>
      <w:r>
        <w:rPr>
          <w:rFonts w:ascii="宋体" w:hAnsi="宋体"/>
          <w:b/>
        </w:rPr>
        <w:t>6</w:t>
      </w:r>
      <w:r>
        <w:rPr>
          <w:rFonts w:hint="eastAsia" w:ascii="宋体" w:hAnsi="宋体"/>
          <w:b/>
        </w:rPr>
        <w:t>.3工作要求</w:t>
      </w:r>
      <w:bookmarkEnd w:id="31"/>
    </w:p>
    <w:p w14:paraId="5448E5E3">
      <w:pPr>
        <w:tabs>
          <w:tab w:val="left" w:pos="510"/>
          <w:tab w:val="left" w:pos="540"/>
        </w:tabs>
        <w:adjustRightInd w:val="0"/>
        <w:spacing w:line="360" w:lineRule="auto"/>
        <w:ind w:firstLine="420" w:firstLineChars="200"/>
        <w:rPr>
          <w:rFonts w:ascii="宋体" w:hAnsi="宋体" w:cs="仿宋_GB2312"/>
          <w:szCs w:val="28"/>
        </w:rPr>
      </w:pPr>
      <w:r>
        <w:rPr>
          <w:rFonts w:hint="eastAsia" w:ascii="宋体" w:hAnsi="宋体" w:cs="仿宋_GB2312"/>
          <w:szCs w:val="28"/>
        </w:rPr>
        <w:t>正常工作要求：每周5（天）*8（小时）现场值守服务。</w:t>
      </w:r>
    </w:p>
    <w:p w14:paraId="2DA28D10">
      <w:pPr>
        <w:tabs>
          <w:tab w:val="left" w:pos="510"/>
          <w:tab w:val="left" w:pos="540"/>
        </w:tabs>
        <w:adjustRightInd w:val="0"/>
        <w:spacing w:line="360" w:lineRule="auto"/>
        <w:ind w:firstLine="420" w:firstLineChars="200"/>
        <w:rPr>
          <w:rFonts w:ascii="宋体" w:hAnsi="宋体" w:cs="仿宋_GB2312"/>
          <w:szCs w:val="28"/>
        </w:rPr>
      </w:pPr>
      <w:r>
        <w:rPr>
          <w:rFonts w:hint="eastAsia" w:ascii="宋体" w:hAnsi="宋体" w:cs="仿宋_GB2312"/>
          <w:szCs w:val="28"/>
        </w:rPr>
        <w:t>服务位置：全校的三个校区。</w:t>
      </w:r>
    </w:p>
    <w:p w14:paraId="05607497">
      <w:pPr>
        <w:tabs>
          <w:tab w:val="left" w:pos="510"/>
          <w:tab w:val="left" w:pos="540"/>
        </w:tabs>
        <w:adjustRightInd w:val="0"/>
        <w:spacing w:line="360" w:lineRule="auto"/>
        <w:ind w:firstLine="420" w:firstLineChars="200"/>
        <w:rPr>
          <w:rFonts w:ascii="宋体" w:hAnsi="宋体" w:cs="仿宋_GB2312"/>
          <w:szCs w:val="28"/>
        </w:rPr>
      </w:pPr>
      <w:r>
        <w:rPr>
          <w:rFonts w:hint="eastAsia" w:ascii="宋体" w:hAnsi="宋体" w:cs="仿宋_GB2312"/>
          <w:szCs w:val="28"/>
        </w:rPr>
        <w:t>响应时限：接障后维护人员必须在10分钟内做出响应，详细记录故障现象。</w:t>
      </w:r>
    </w:p>
    <w:p w14:paraId="775E49FA">
      <w:pPr>
        <w:tabs>
          <w:tab w:val="left" w:pos="510"/>
          <w:tab w:val="left" w:pos="540"/>
        </w:tabs>
        <w:adjustRightInd w:val="0"/>
        <w:spacing w:line="360" w:lineRule="auto"/>
        <w:ind w:firstLine="420" w:firstLineChars="200"/>
        <w:rPr>
          <w:rFonts w:ascii="宋体" w:hAnsi="宋体" w:cs="仿宋_GB2312"/>
          <w:szCs w:val="28"/>
        </w:rPr>
      </w:pPr>
      <w:r>
        <w:rPr>
          <w:rFonts w:hint="eastAsia" w:ascii="宋体" w:hAnsi="宋体" w:cs="仿宋_GB2312"/>
          <w:szCs w:val="28"/>
        </w:rPr>
        <w:t>故障处理时限：上班时间要求15分钟内到达现场，1小时内解决并完成服务需求；遇到紧急、特殊的服务要求应立即提供服务至解决问题为止。</w:t>
      </w:r>
    </w:p>
    <w:p w14:paraId="26804EE6">
      <w:pPr>
        <w:tabs>
          <w:tab w:val="left" w:pos="510"/>
          <w:tab w:val="left" w:pos="540"/>
        </w:tabs>
        <w:adjustRightInd w:val="0"/>
        <w:spacing w:line="360" w:lineRule="auto"/>
        <w:ind w:firstLine="420" w:firstLineChars="200"/>
        <w:rPr>
          <w:rFonts w:hint="eastAsia"/>
        </w:rPr>
      </w:pPr>
      <w:r>
        <w:rPr>
          <w:rFonts w:hint="eastAsia" w:ascii="宋体" w:hAnsi="宋体" w:cs="仿宋_GB2312"/>
          <w:szCs w:val="28"/>
        </w:rPr>
        <w:t>其余时间（除周一至周五8：30～17:30以外的时间）要求 2小时内到达现场，4小时内解决并完成服务需求；遇到紧急、特殊的服务要求应1小时内到达现场，2小时内提供服务至解决问题为止。</w:t>
      </w:r>
    </w:p>
    <w:p w14:paraId="7B7A024F">
      <w:pPr>
        <w:tabs>
          <w:tab w:val="left" w:pos="510"/>
          <w:tab w:val="left" w:pos="540"/>
          <w:tab w:val="left" w:pos="993"/>
          <w:tab w:val="left" w:pos="1134"/>
        </w:tabs>
        <w:adjustRightInd w:val="0"/>
        <w:spacing w:line="360" w:lineRule="auto"/>
        <w:ind w:left="420" w:leftChars="200"/>
        <w:rPr>
          <w:rFonts w:hint="eastAsia" w:ascii="宋体" w:hAnsi="宋体"/>
          <w:b/>
        </w:rPr>
      </w:pPr>
      <w:bookmarkStart w:id="32" w:name="_Toc20567"/>
      <w:r>
        <w:rPr>
          <w:rFonts w:hint="eastAsia" w:ascii="宋体" w:hAnsi="宋体"/>
          <w:b/>
        </w:rPr>
        <w:t>1.</w:t>
      </w:r>
      <w:r>
        <w:rPr>
          <w:rFonts w:ascii="宋体" w:hAnsi="宋体"/>
          <w:b/>
        </w:rPr>
        <w:t>6</w:t>
      </w:r>
      <w:r>
        <w:rPr>
          <w:rFonts w:hint="eastAsia" w:ascii="宋体" w:hAnsi="宋体"/>
          <w:b/>
        </w:rPr>
        <w:t>.4服务水平评价</w:t>
      </w:r>
      <w:bookmarkEnd w:id="32"/>
    </w:p>
    <w:p w14:paraId="4EAE016C">
      <w:pPr>
        <w:tabs>
          <w:tab w:val="left" w:pos="510"/>
          <w:tab w:val="left" w:pos="540"/>
        </w:tabs>
        <w:adjustRightInd w:val="0"/>
        <w:spacing w:line="360" w:lineRule="auto"/>
        <w:ind w:firstLine="420" w:firstLineChars="200"/>
        <w:rPr>
          <w:rFonts w:ascii="宋体" w:hAnsi="宋体" w:cs="仿宋_GB2312"/>
          <w:szCs w:val="28"/>
        </w:rPr>
      </w:pPr>
      <w:r>
        <w:rPr>
          <w:rFonts w:hint="eastAsia" w:ascii="宋体" w:hAnsi="宋体" w:cs="仿宋_GB2312"/>
          <w:szCs w:val="28"/>
        </w:rPr>
        <w:t>为了针对驻场服务工程师工作绩效进行科学及针对性的评价，确保相关工作落实到位，确保服务能够顺利、高质量的完成，采购人制定了以佛山大学满意度为核心的服务质量考核目标。具体要求如下：</w:t>
      </w:r>
    </w:p>
    <w:p w14:paraId="2051B791">
      <w:pPr>
        <w:tabs>
          <w:tab w:val="left" w:pos="510"/>
          <w:tab w:val="left" w:pos="540"/>
        </w:tabs>
        <w:adjustRightInd w:val="0"/>
        <w:spacing w:line="360" w:lineRule="auto"/>
        <w:ind w:firstLine="420" w:firstLineChars="200"/>
        <w:rPr>
          <w:rFonts w:ascii="宋体" w:hAnsi="宋体" w:cs="仿宋_GB2312"/>
          <w:szCs w:val="28"/>
        </w:rPr>
      </w:pPr>
      <w:r>
        <w:rPr>
          <w:rFonts w:hint="eastAsia" w:ascii="宋体" w:hAnsi="宋体" w:cs="仿宋_GB2312"/>
          <w:szCs w:val="28"/>
        </w:rPr>
        <w:t>驻场服务工程师针对工作范围内问题发生后进行跟踪反馈并解决。佛山大学评价满意度分为5级，分别为满意（5分）、比较满意（4分）、一般（3分）、比较不满意（2分）、不满意（1分）。</w:t>
      </w:r>
    </w:p>
    <w:p w14:paraId="437E7836">
      <w:pPr>
        <w:tabs>
          <w:tab w:val="left" w:pos="510"/>
          <w:tab w:val="left" w:pos="540"/>
        </w:tabs>
        <w:adjustRightInd w:val="0"/>
        <w:spacing w:line="360" w:lineRule="auto"/>
        <w:ind w:firstLine="420" w:firstLineChars="200"/>
        <w:rPr>
          <w:rFonts w:hint="eastAsia" w:ascii="宋体" w:hAnsi="宋体" w:cs="仿宋_GB2312"/>
          <w:szCs w:val="28"/>
        </w:rPr>
      </w:pPr>
      <w:r>
        <w:rPr>
          <w:rFonts w:hint="eastAsia" w:ascii="宋体" w:hAnsi="宋体" w:cs="仿宋_GB2312"/>
          <w:szCs w:val="28"/>
        </w:rPr>
        <w:t>每个月针对驻场服务工程师表现进行满意度打分，打分分为以下几个层面：</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5022"/>
        <w:gridCol w:w="1578"/>
      </w:tblGrid>
      <w:tr w14:paraId="2C8E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noWrap w:val="0"/>
            <w:vAlign w:val="top"/>
          </w:tcPr>
          <w:p w14:paraId="3035AA7F">
            <w:pPr>
              <w:spacing w:line="360" w:lineRule="auto"/>
              <w:jc w:val="center"/>
              <w:rPr>
                <w:rFonts w:ascii="宋体" w:hAnsi="宋体" w:cs="宋体"/>
                <w:b/>
                <w:bCs/>
                <w:kern w:val="0"/>
                <w:lang w:val="zh-CN"/>
              </w:rPr>
            </w:pPr>
            <w:r>
              <w:rPr>
                <w:rFonts w:hint="eastAsia" w:ascii="宋体" w:hAnsi="宋体" w:cs="宋体"/>
                <w:b/>
                <w:bCs/>
                <w:kern w:val="0"/>
                <w:lang w:val="zh-CN"/>
              </w:rPr>
              <w:t>项目</w:t>
            </w:r>
          </w:p>
        </w:tc>
        <w:tc>
          <w:tcPr>
            <w:tcW w:w="5690" w:type="dxa"/>
            <w:noWrap w:val="0"/>
            <w:vAlign w:val="top"/>
          </w:tcPr>
          <w:p w14:paraId="5B0FC039">
            <w:pPr>
              <w:spacing w:line="360" w:lineRule="auto"/>
              <w:jc w:val="center"/>
              <w:rPr>
                <w:rFonts w:ascii="宋体" w:hAnsi="宋体" w:cs="宋体"/>
                <w:b/>
                <w:bCs/>
                <w:kern w:val="0"/>
                <w:lang w:val="zh-CN"/>
              </w:rPr>
            </w:pPr>
            <w:r>
              <w:rPr>
                <w:rFonts w:hint="eastAsia" w:ascii="宋体" w:hAnsi="宋体" w:cs="宋体"/>
                <w:b/>
                <w:bCs/>
                <w:kern w:val="0"/>
                <w:lang w:val="zh-CN"/>
              </w:rPr>
              <w:t>内容</w:t>
            </w:r>
          </w:p>
        </w:tc>
        <w:tc>
          <w:tcPr>
            <w:tcW w:w="1753" w:type="dxa"/>
            <w:noWrap w:val="0"/>
            <w:vAlign w:val="top"/>
          </w:tcPr>
          <w:p w14:paraId="6C39EF2F">
            <w:pPr>
              <w:spacing w:line="360" w:lineRule="auto"/>
              <w:jc w:val="center"/>
              <w:rPr>
                <w:rFonts w:ascii="宋体" w:hAnsi="宋体" w:cs="宋体"/>
                <w:b/>
                <w:bCs/>
                <w:kern w:val="0"/>
                <w:lang w:val="zh-CN"/>
              </w:rPr>
            </w:pPr>
            <w:r>
              <w:rPr>
                <w:rFonts w:hint="eastAsia" w:ascii="宋体" w:hAnsi="宋体" w:cs="宋体"/>
                <w:b/>
                <w:bCs/>
                <w:kern w:val="0"/>
                <w:lang w:val="zh-CN"/>
              </w:rPr>
              <w:t>评分结果</w:t>
            </w:r>
          </w:p>
        </w:tc>
      </w:tr>
      <w:tr w14:paraId="530E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noWrap w:val="0"/>
            <w:vAlign w:val="center"/>
          </w:tcPr>
          <w:p w14:paraId="4A1F750E">
            <w:pPr>
              <w:spacing w:line="360" w:lineRule="auto"/>
              <w:jc w:val="center"/>
              <w:rPr>
                <w:rFonts w:ascii="宋体" w:hAnsi="宋体" w:cs="仿宋_GB2312"/>
                <w:kern w:val="0"/>
                <w:lang w:val="zh-CN"/>
              </w:rPr>
            </w:pPr>
            <w:r>
              <w:rPr>
                <w:rFonts w:hint="eastAsia" w:ascii="宋体" w:hAnsi="宋体" w:cs="仿宋_GB2312"/>
                <w:kern w:val="0"/>
                <w:lang w:val="zh-CN"/>
              </w:rPr>
              <w:t>漏洞响应速度（20%）</w:t>
            </w:r>
          </w:p>
        </w:tc>
        <w:tc>
          <w:tcPr>
            <w:tcW w:w="5690" w:type="dxa"/>
            <w:noWrap w:val="0"/>
            <w:vAlign w:val="top"/>
          </w:tcPr>
          <w:p w14:paraId="0F3B784C">
            <w:pPr>
              <w:spacing w:line="360" w:lineRule="auto"/>
              <w:rPr>
                <w:rFonts w:ascii="宋体" w:hAnsi="宋体" w:cs="仿宋_GB2312"/>
                <w:kern w:val="0"/>
                <w:lang w:val="zh-CN"/>
              </w:rPr>
            </w:pPr>
            <w:r>
              <w:rPr>
                <w:rFonts w:hint="eastAsia" w:ascii="宋体" w:hAnsi="宋体" w:cs="仿宋_GB2312"/>
                <w:kern w:val="0"/>
                <w:lang w:val="zh-CN"/>
              </w:rPr>
              <w:t>本月内针对新发现漏洞的处理速度。是否及时联系厂商或其他方式解决。漏洞响应速度2小时内 5分；4小时内4分；6小时内3分；12小时内2分；24小时内1分。</w:t>
            </w:r>
          </w:p>
        </w:tc>
        <w:tc>
          <w:tcPr>
            <w:tcW w:w="1753" w:type="dxa"/>
            <w:noWrap w:val="0"/>
            <w:vAlign w:val="center"/>
          </w:tcPr>
          <w:p w14:paraId="6A1017FC">
            <w:pPr>
              <w:spacing w:line="360" w:lineRule="auto"/>
              <w:jc w:val="center"/>
              <w:rPr>
                <w:rFonts w:ascii="宋体" w:hAnsi="宋体" w:cs="仿宋_GB2312"/>
                <w:kern w:val="0"/>
                <w:lang w:val="zh-CN"/>
              </w:rPr>
            </w:pPr>
          </w:p>
        </w:tc>
      </w:tr>
      <w:tr w14:paraId="262A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noWrap w:val="0"/>
            <w:vAlign w:val="center"/>
          </w:tcPr>
          <w:p w14:paraId="377D3021">
            <w:pPr>
              <w:spacing w:line="360" w:lineRule="auto"/>
              <w:jc w:val="center"/>
              <w:rPr>
                <w:rFonts w:ascii="宋体" w:hAnsi="宋体" w:cs="仿宋_GB2312"/>
                <w:kern w:val="0"/>
                <w:lang w:val="zh-CN"/>
              </w:rPr>
            </w:pPr>
            <w:r>
              <w:rPr>
                <w:rFonts w:hint="eastAsia" w:ascii="宋体" w:hAnsi="宋体" w:cs="仿宋_GB2312"/>
                <w:kern w:val="0"/>
                <w:lang w:val="zh-CN"/>
              </w:rPr>
              <w:t>漏洞处理质量（30%）</w:t>
            </w:r>
          </w:p>
        </w:tc>
        <w:tc>
          <w:tcPr>
            <w:tcW w:w="5690" w:type="dxa"/>
            <w:noWrap w:val="0"/>
            <w:vAlign w:val="top"/>
          </w:tcPr>
          <w:p w14:paraId="1B4F4A0A">
            <w:pPr>
              <w:spacing w:line="360" w:lineRule="auto"/>
              <w:rPr>
                <w:rFonts w:ascii="宋体" w:hAnsi="宋体" w:cs="仿宋_GB2312"/>
                <w:kern w:val="0"/>
                <w:lang w:val="zh-CN"/>
              </w:rPr>
            </w:pPr>
            <w:r>
              <w:rPr>
                <w:rFonts w:hint="eastAsia" w:ascii="宋体" w:hAnsi="宋体" w:cs="仿宋_GB2312"/>
                <w:kern w:val="0"/>
                <w:lang w:val="zh-CN"/>
              </w:rPr>
              <w:t>本月针对漏洞处理过程中的服务质量。从处理速度，处理方式，是否导致影响等方面打分。</w:t>
            </w:r>
          </w:p>
        </w:tc>
        <w:tc>
          <w:tcPr>
            <w:tcW w:w="1753" w:type="dxa"/>
            <w:noWrap w:val="0"/>
            <w:vAlign w:val="center"/>
          </w:tcPr>
          <w:p w14:paraId="009CD671">
            <w:pPr>
              <w:spacing w:line="360" w:lineRule="auto"/>
              <w:jc w:val="center"/>
              <w:rPr>
                <w:rFonts w:ascii="宋体" w:hAnsi="宋体" w:cs="仿宋_GB2312"/>
                <w:kern w:val="0"/>
                <w:lang w:val="zh-CN"/>
              </w:rPr>
            </w:pPr>
          </w:p>
        </w:tc>
      </w:tr>
      <w:tr w14:paraId="5658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noWrap w:val="0"/>
            <w:vAlign w:val="center"/>
          </w:tcPr>
          <w:p w14:paraId="4A70352D">
            <w:pPr>
              <w:spacing w:line="360" w:lineRule="auto"/>
              <w:jc w:val="center"/>
              <w:rPr>
                <w:rFonts w:ascii="宋体" w:hAnsi="宋体" w:cs="仿宋_GB2312"/>
                <w:kern w:val="0"/>
                <w:lang w:val="zh-CN"/>
              </w:rPr>
            </w:pPr>
            <w:r>
              <w:rPr>
                <w:rFonts w:hint="eastAsia" w:ascii="宋体" w:hAnsi="宋体" w:cs="仿宋_GB2312"/>
                <w:kern w:val="0"/>
                <w:lang w:val="zh-CN"/>
              </w:rPr>
              <w:t>安全事件本地响应速度（30%）</w:t>
            </w:r>
          </w:p>
        </w:tc>
        <w:tc>
          <w:tcPr>
            <w:tcW w:w="5690" w:type="dxa"/>
            <w:noWrap w:val="0"/>
            <w:vAlign w:val="top"/>
          </w:tcPr>
          <w:p w14:paraId="5FBAEA3F">
            <w:pPr>
              <w:spacing w:line="360" w:lineRule="auto"/>
              <w:rPr>
                <w:rFonts w:ascii="宋体" w:hAnsi="宋体" w:cs="仿宋_GB2312"/>
                <w:kern w:val="0"/>
                <w:lang w:val="zh-CN"/>
              </w:rPr>
            </w:pPr>
            <w:r>
              <w:rPr>
                <w:rFonts w:hint="eastAsia" w:ascii="宋体" w:hAnsi="宋体" w:cs="仿宋_GB2312"/>
                <w:kern w:val="0"/>
                <w:lang w:val="zh-CN"/>
              </w:rPr>
              <w:t>本月态势感知二线给到的安全事件处理程度。从处理速度，处理质量，达到效果层面打分。</w:t>
            </w:r>
          </w:p>
        </w:tc>
        <w:tc>
          <w:tcPr>
            <w:tcW w:w="1753" w:type="dxa"/>
            <w:noWrap w:val="0"/>
            <w:vAlign w:val="center"/>
          </w:tcPr>
          <w:p w14:paraId="23867CEA">
            <w:pPr>
              <w:spacing w:line="360" w:lineRule="auto"/>
              <w:jc w:val="center"/>
              <w:rPr>
                <w:rFonts w:ascii="宋体" w:hAnsi="宋体" w:cs="仿宋_GB2312"/>
                <w:kern w:val="0"/>
                <w:lang w:val="zh-CN"/>
              </w:rPr>
            </w:pPr>
          </w:p>
        </w:tc>
      </w:tr>
      <w:tr w14:paraId="47F9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noWrap w:val="0"/>
            <w:vAlign w:val="center"/>
          </w:tcPr>
          <w:p w14:paraId="00F1B542">
            <w:pPr>
              <w:spacing w:line="360" w:lineRule="auto"/>
              <w:jc w:val="center"/>
              <w:rPr>
                <w:rFonts w:ascii="宋体" w:hAnsi="宋体" w:cs="仿宋_GB2312"/>
                <w:kern w:val="0"/>
                <w:lang w:val="zh-CN"/>
              </w:rPr>
            </w:pPr>
            <w:r>
              <w:rPr>
                <w:rFonts w:hint="eastAsia" w:ascii="宋体" w:hAnsi="宋体" w:cs="仿宋_GB2312"/>
                <w:kern w:val="0"/>
                <w:lang w:val="zh-CN"/>
              </w:rPr>
              <w:t>主动性工作（20%）</w:t>
            </w:r>
          </w:p>
        </w:tc>
        <w:tc>
          <w:tcPr>
            <w:tcW w:w="5690" w:type="dxa"/>
            <w:noWrap w:val="0"/>
            <w:vAlign w:val="top"/>
          </w:tcPr>
          <w:p w14:paraId="6F588102">
            <w:pPr>
              <w:spacing w:line="360" w:lineRule="auto"/>
              <w:rPr>
                <w:rFonts w:ascii="宋体" w:hAnsi="宋体" w:cs="仿宋_GB2312"/>
                <w:kern w:val="0"/>
                <w:lang w:val="zh-CN"/>
              </w:rPr>
            </w:pPr>
            <w:r>
              <w:rPr>
                <w:rFonts w:hint="eastAsia" w:ascii="宋体" w:hAnsi="宋体" w:cs="仿宋_GB2312"/>
                <w:kern w:val="0"/>
                <w:lang w:val="zh-CN"/>
              </w:rPr>
              <w:t>本月内主动承担主动性工作，如针对安全设备的巡检，流程制度的梳理等处理其他工作范围外的事情，有一定价值。</w:t>
            </w:r>
          </w:p>
        </w:tc>
        <w:tc>
          <w:tcPr>
            <w:tcW w:w="1753" w:type="dxa"/>
            <w:noWrap w:val="0"/>
            <w:vAlign w:val="center"/>
          </w:tcPr>
          <w:p w14:paraId="29109A7B">
            <w:pPr>
              <w:spacing w:line="360" w:lineRule="auto"/>
              <w:jc w:val="center"/>
              <w:rPr>
                <w:rFonts w:ascii="宋体" w:hAnsi="宋体" w:cs="仿宋_GB2312"/>
                <w:kern w:val="0"/>
                <w:lang w:val="zh-CN"/>
              </w:rPr>
            </w:pPr>
          </w:p>
        </w:tc>
      </w:tr>
    </w:tbl>
    <w:p w14:paraId="5D1B7F25">
      <w:pPr>
        <w:tabs>
          <w:tab w:val="left" w:pos="510"/>
          <w:tab w:val="left" w:pos="540"/>
          <w:tab w:val="left" w:pos="993"/>
          <w:tab w:val="left" w:pos="1134"/>
        </w:tabs>
        <w:adjustRightInd w:val="0"/>
        <w:spacing w:line="360" w:lineRule="auto"/>
        <w:ind w:left="420" w:leftChars="200"/>
        <w:rPr>
          <w:rFonts w:hint="eastAsia" w:ascii="宋体" w:hAnsi="宋体"/>
          <w:b/>
        </w:rPr>
      </w:pPr>
      <w:bookmarkStart w:id="33" w:name="_Toc7662"/>
      <w:bookmarkStart w:id="34" w:name="_Toc6682"/>
      <w:bookmarkStart w:id="35" w:name="_Toc9053"/>
      <w:bookmarkStart w:id="36" w:name="_Toc32134"/>
      <w:bookmarkStart w:id="37" w:name="_Toc10499"/>
      <w:r>
        <w:rPr>
          <w:rFonts w:hint="eastAsia" w:ascii="宋体" w:hAnsi="宋体"/>
          <w:b/>
        </w:rPr>
        <w:t>1.</w:t>
      </w:r>
      <w:r>
        <w:rPr>
          <w:rFonts w:ascii="宋体" w:hAnsi="宋体"/>
          <w:b/>
        </w:rPr>
        <w:t>6</w:t>
      </w:r>
      <w:r>
        <w:rPr>
          <w:rFonts w:hint="eastAsia" w:ascii="宋体" w:hAnsi="宋体"/>
          <w:b/>
        </w:rPr>
        <w:t>.5驻场服务交付物</w:t>
      </w:r>
      <w:bookmarkEnd w:id="33"/>
      <w:r>
        <w:rPr>
          <w:rFonts w:hint="eastAsia" w:ascii="宋体" w:hAnsi="宋体"/>
          <w:b/>
        </w:rPr>
        <w:t>清单</w:t>
      </w:r>
      <w:bookmarkEnd w:id="34"/>
      <w:bookmarkEnd w:id="35"/>
      <w:bookmarkEnd w:id="36"/>
      <w:bookmarkEnd w:id="37"/>
    </w:p>
    <w:p w14:paraId="4140E945">
      <w:pPr>
        <w:tabs>
          <w:tab w:val="left" w:pos="510"/>
          <w:tab w:val="left" w:pos="540"/>
        </w:tabs>
        <w:adjustRightInd w:val="0"/>
        <w:spacing w:line="360" w:lineRule="auto"/>
        <w:ind w:firstLine="420" w:firstLineChars="200"/>
        <w:rPr>
          <w:rFonts w:ascii="宋体" w:hAnsi="宋体"/>
          <w:szCs w:val="28"/>
        </w:rPr>
      </w:pPr>
      <w:r>
        <w:rPr>
          <w:rFonts w:hint="eastAsia" w:ascii="宋体" w:hAnsi="宋体"/>
          <w:szCs w:val="28"/>
        </w:rPr>
        <w:t>驻场运营服务阶段，驻场服务工程师需进行相应的成果交付，并向采购人总结汇报。成果交付分包括但不限于以下：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9"/>
        <w:gridCol w:w="2610"/>
        <w:gridCol w:w="1367"/>
      </w:tblGrid>
      <w:tr w14:paraId="6A81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9" w:type="dxa"/>
            <w:noWrap w:val="0"/>
            <w:vAlign w:val="center"/>
          </w:tcPr>
          <w:p w14:paraId="6BC49254">
            <w:pPr>
              <w:spacing w:line="360" w:lineRule="auto"/>
              <w:jc w:val="center"/>
              <w:rPr>
                <w:rFonts w:ascii="宋体" w:hAnsi="宋体" w:cs="仿宋_GB2312"/>
                <w:b/>
                <w:kern w:val="0"/>
                <w:lang w:val="zh-CN"/>
              </w:rPr>
            </w:pPr>
            <w:r>
              <w:rPr>
                <w:rFonts w:hint="eastAsia" w:ascii="宋体" w:hAnsi="宋体" w:cs="仿宋_GB2312"/>
                <w:b/>
                <w:kern w:val="0"/>
                <w:lang w:val="zh-CN"/>
              </w:rPr>
              <w:t>交付物名称</w:t>
            </w:r>
          </w:p>
        </w:tc>
        <w:tc>
          <w:tcPr>
            <w:tcW w:w="2610" w:type="dxa"/>
            <w:noWrap w:val="0"/>
            <w:vAlign w:val="center"/>
          </w:tcPr>
          <w:p w14:paraId="3B0522A8">
            <w:pPr>
              <w:spacing w:line="360" w:lineRule="auto"/>
              <w:jc w:val="center"/>
              <w:rPr>
                <w:rFonts w:ascii="宋体" w:hAnsi="宋体" w:cs="仿宋_GB2312"/>
                <w:b/>
                <w:kern w:val="0"/>
                <w:lang w:val="zh-CN"/>
              </w:rPr>
            </w:pPr>
            <w:r>
              <w:rPr>
                <w:rFonts w:hint="eastAsia" w:ascii="宋体" w:hAnsi="宋体" w:cs="仿宋_GB2312"/>
                <w:b/>
                <w:kern w:val="0"/>
                <w:lang w:val="zh-CN"/>
              </w:rPr>
              <w:t>交付周期</w:t>
            </w:r>
          </w:p>
        </w:tc>
        <w:tc>
          <w:tcPr>
            <w:tcW w:w="1367" w:type="dxa"/>
            <w:noWrap w:val="0"/>
            <w:vAlign w:val="center"/>
          </w:tcPr>
          <w:p w14:paraId="69FA2C17">
            <w:pPr>
              <w:spacing w:line="360" w:lineRule="auto"/>
              <w:jc w:val="center"/>
              <w:rPr>
                <w:rFonts w:ascii="宋体" w:hAnsi="宋体" w:cs="仿宋_GB2312"/>
                <w:b/>
                <w:kern w:val="0"/>
                <w:lang w:val="zh-CN"/>
              </w:rPr>
            </w:pPr>
            <w:r>
              <w:rPr>
                <w:rFonts w:hint="eastAsia" w:ascii="宋体" w:hAnsi="宋体" w:cs="仿宋_GB2312"/>
                <w:b/>
                <w:kern w:val="0"/>
                <w:lang w:val="zh-CN"/>
              </w:rPr>
              <w:t>交付方式</w:t>
            </w:r>
          </w:p>
        </w:tc>
      </w:tr>
      <w:tr w14:paraId="7F4F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9" w:type="dxa"/>
            <w:noWrap w:val="0"/>
            <w:vAlign w:val="center"/>
          </w:tcPr>
          <w:p w14:paraId="681B3047">
            <w:pPr>
              <w:spacing w:line="360" w:lineRule="auto"/>
              <w:jc w:val="left"/>
              <w:rPr>
                <w:rFonts w:ascii="宋体" w:hAnsi="宋体" w:cs="仿宋_GB2312"/>
                <w:kern w:val="0"/>
                <w:lang w:val="zh-CN"/>
              </w:rPr>
            </w:pPr>
            <w:r>
              <w:rPr>
                <w:rFonts w:hint="eastAsia" w:ascii="宋体" w:hAnsi="宋体" w:cs="仿宋_GB2312"/>
                <w:kern w:val="0"/>
                <w:lang w:val="zh-CN"/>
              </w:rPr>
              <w:t>《资产梳理表格》</w:t>
            </w:r>
          </w:p>
        </w:tc>
        <w:tc>
          <w:tcPr>
            <w:tcW w:w="2610" w:type="dxa"/>
            <w:noWrap w:val="0"/>
            <w:vAlign w:val="center"/>
          </w:tcPr>
          <w:p w14:paraId="2E3B3711">
            <w:pPr>
              <w:spacing w:line="360" w:lineRule="auto"/>
              <w:jc w:val="center"/>
              <w:rPr>
                <w:rFonts w:ascii="宋体" w:hAnsi="宋体" w:cs="仿宋_GB2312"/>
                <w:kern w:val="0"/>
                <w:lang w:val="zh-CN"/>
              </w:rPr>
            </w:pPr>
            <w:r>
              <w:rPr>
                <w:rFonts w:hint="eastAsia" w:ascii="宋体" w:hAnsi="宋体" w:cs="仿宋_GB2312"/>
                <w:kern w:val="0"/>
                <w:lang w:val="zh-CN"/>
              </w:rPr>
              <w:t>每月一次</w:t>
            </w:r>
          </w:p>
        </w:tc>
        <w:tc>
          <w:tcPr>
            <w:tcW w:w="1367" w:type="dxa"/>
            <w:noWrap w:val="0"/>
            <w:vAlign w:val="center"/>
          </w:tcPr>
          <w:p w14:paraId="632CE593">
            <w:pPr>
              <w:spacing w:line="360" w:lineRule="auto"/>
              <w:jc w:val="center"/>
              <w:rPr>
                <w:rFonts w:ascii="宋体" w:hAnsi="宋体" w:cs="仿宋_GB2312"/>
                <w:kern w:val="0"/>
                <w:lang w:val="zh-CN"/>
              </w:rPr>
            </w:pPr>
            <w:r>
              <w:rPr>
                <w:rFonts w:hint="eastAsia" w:ascii="宋体" w:hAnsi="宋体" w:cs="仿宋_GB2312"/>
                <w:kern w:val="0"/>
                <w:lang w:val="zh-CN"/>
              </w:rPr>
              <w:t>文档</w:t>
            </w:r>
          </w:p>
        </w:tc>
      </w:tr>
      <w:tr w14:paraId="1C6A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9" w:type="dxa"/>
            <w:noWrap w:val="0"/>
            <w:vAlign w:val="center"/>
          </w:tcPr>
          <w:p w14:paraId="732A9F97">
            <w:pPr>
              <w:spacing w:line="360" w:lineRule="auto"/>
              <w:jc w:val="left"/>
              <w:rPr>
                <w:rFonts w:ascii="宋体" w:hAnsi="宋体" w:cs="仿宋_GB2312"/>
                <w:kern w:val="0"/>
                <w:lang w:val="zh-CN"/>
              </w:rPr>
            </w:pPr>
            <w:r>
              <w:rPr>
                <w:rFonts w:hint="eastAsia" w:ascii="宋体" w:hAnsi="宋体" w:cs="仿宋_GB2312"/>
                <w:kern w:val="0"/>
                <w:lang w:val="zh-CN"/>
              </w:rPr>
              <w:t>《安全加固处置报告》</w:t>
            </w:r>
          </w:p>
        </w:tc>
        <w:tc>
          <w:tcPr>
            <w:tcW w:w="2610" w:type="dxa"/>
            <w:noWrap w:val="0"/>
            <w:vAlign w:val="center"/>
          </w:tcPr>
          <w:p w14:paraId="31058044">
            <w:pPr>
              <w:spacing w:line="360" w:lineRule="auto"/>
              <w:jc w:val="center"/>
              <w:rPr>
                <w:rFonts w:ascii="宋体" w:hAnsi="宋体" w:cs="仿宋_GB2312"/>
                <w:kern w:val="0"/>
                <w:lang w:val="zh-CN"/>
              </w:rPr>
            </w:pPr>
            <w:r>
              <w:rPr>
                <w:rFonts w:hint="eastAsia" w:ascii="宋体" w:hAnsi="宋体" w:cs="仿宋_GB2312"/>
                <w:kern w:val="0"/>
                <w:lang w:val="zh-CN"/>
              </w:rPr>
              <w:t>每季度一次</w:t>
            </w:r>
          </w:p>
        </w:tc>
        <w:tc>
          <w:tcPr>
            <w:tcW w:w="1367" w:type="dxa"/>
            <w:noWrap w:val="0"/>
            <w:vAlign w:val="center"/>
          </w:tcPr>
          <w:p w14:paraId="7D548F3A">
            <w:pPr>
              <w:spacing w:line="360" w:lineRule="auto"/>
              <w:jc w:val="center"/>
              <w:rPr>
                <w:rFonts w:ascii="宋体" w:hAnsi="宋体" w:cs="仿宋_GB2312"/>
                <w:kern w:val="0"/>
                <w:lang w:val="zh-CN"/>
              </w:rPr>
            </w:pPr>
            <w:r>
              <w:rPr>
                <w:rFonts w:hint="eastAsia" w:ascii="宋体" w:hAnsi="宋体" w:cs="仿宋_GB2312"/>
                <w:kern w:val="0"/>
                <w:lang w:val="zh-CN"/>
              </w:rPr>
              <w:t>文档</w:t>
            </w:r>
          </w:p>
        </w:tc>
      </w:tr>
      <w:tr w14:paraId="5CD0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9" w:type="dxa"/>
            <w:noWrap w:val="0"/>
            <w:vAlign w:val="center"/>
          </w:tcPr>
          <w:p w14:paraId="5E698E0E">
            <w:pPr>
              <w:spacing w:line="360" w:lineRule="auto"/>
              <w:jc w:val="left"/>
              <w:rPr>
                <w:rFonts w:ascii="宋体" w:hAnsi="宋体" w:cs="仿宋_GB2312"/>
                <w:kern w:val="0"/>
                <w:lang w:val="zh-CN"/>
              </w:rPr>
            </w:pPr>
            <w:r>
              <w:rPr>
                <w:rFonts w:hint="eastAsia" w:ascii="宋体" w:hAnsi="宋体" w:cs="仿宋_GB2312"/>
                <w:kern w:val="0"/>
                <w:lang w:val="zh-CN"/>
              </w:rPr>
              <w:t>《安全运营-安全事件记录表》</w:t>
            </w:r>
          </w:p>
        </w:tc>
        <w:tc>
          <w:tcPr>
            <w:tcW w:w="2610" w:type="dxa"/>
            <w:noWrap w:val="0"/>
            <w:vAlign w:val="center"/>
          </w:tcPr>
          <w:p w14:paraId="4526C37C">
            <w:pPr>
              <w:spacing w:line="360" w:lineRule="auto"/>
              <w:jc w:val="center"/>
              <w:rPr>
                <w:rFonts w:ascii="宋体" w:hAnsi="宋体" w:cs="仿宋_GB2312"/>
                <w:kern w:val="0"/>
                <w:lang w:val="zh-CN"/>
              </w:rPr>
            </w:pPr>
            <w:r>
              <w:rPr>
                <w:rFonts w:hint="eastAsia" w:ascii="宋体" w:hAnsi="宋体" w:cs="仿宋_GB2312"/>
                <w:kern w:val="0"/>
                <w:lang w:val="zh-CN"/>
              </w:rPr>
              <w:t>每天一次</w:t>
            </w:r>
          </w:p>
        </w:tc>
        <w:tc>
          <w:tcPr>
            <w:tcW w:w="1367" w:type="dxa"/>
            <w:noWrap w:val="0"/>
            <w:vAlign w:val="center"/>
          </w:tcPr>
          <w:p w14:paraId="5B0CAEB4">
            <w:pPr>
              <w:spacing w:line="360" w:lineRule="auto"/>
              <w:jc w:val="center"/>
              <w:rPr>
                <w:rFonts w:ascii="宋体" w:hAnsi="宋体" w:cs="仿宋_GB2312"/>
                <w:kern w:val="0"/>
                <w:lang w:val="zh-CN"/>
              </w:rPr>
            </w:pPr>
            <w:r>
              <w:rPr>
                <w:rFonts w:hint="eastAsia" w:ascii="宋体" w:hAnsi="宋体" w:cs="仿宋_GB2312"/>
                <w:kern w:val="0"/>
                <w:lang w:val="zh-CN"/>
              </w:rPr>
              <w:t>文档</w:t>
            </w:r>
          </w:p>
        </w:tc>
      </w:tr>
      <w:tr w14:paraId="22B2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9" w:type="dxa"/>
            <w:noWrap w:val="0"/>
            <w:vAlign w:val="center"/>
          </w:tcPr>
          <w:p w14:paraId="2644263A">
            <w:pPr>
              <w:spacing w:line="360" w:lineRule="auto"/>
              <w:jc w:val="left"/>
              <w:rPr>
                <w:rFonts w:ascii="宋体" w:hAnsi="宋体" w:cs="仿宋_GB2312"/>
                <w:kern w:val="0"/>
                <w:lang w:val="zh-CN"/>
              </w:rPr>
            </w:pPr>
            <w:r>
              <w:rPr>
                <w:rFonts w:hint="eastAsia" w:ascii="宋体" w:hAnsi="宋体" w:cs="仿宋_GB2312"/>
                <w:kern w:val="0"/>
                <w:lang w:val="zh-CN"/>
              </w:rPr>
              <w:t>《应急安全事件分析报告》</w:t>
            </w:r>
          </w:p>
        </w:tc>
        <w:tc>
          <w:tcPr>
            <w:tcW w:w="2610" w:type="dxa"/>
            <w:noWrap w:val="0"/>
            <w:vAlign w:val="center"/>
          </w:tcPr>
          <w:p w14:paraId="36392601">
            <w:pPr>
              <w:spacing w:line="360" w:lineRule="auto"/>
              <w:jc w:val="center"/>
              <w:rPr>
                <w:rFonts w:ascii="宋体" w:hAnsi="宋体" w:cs="仿宋_GB2312"/>
                <w:kern w:val="0"/>
                <w:lang w:val="zh-CN"/>
              </w:rPr>
            </w:pPr>
            <w:r>
              <w:rPr>
                <w:rFonts w:hint="eastAsia" w:ascii="宋体" w:hAnsi="宋体" w:cs="仿宋_GB2312"/>
                <w:kern w:val="0"/>
                <w:lang w:val="zh-CN"/>
              </w:rPr>
              <w:t>按需</w:t>
            </w:r>
          </w:p>
        </w:tc>
        <w:tc>
          <w:tcPr>
            <w:tcW w:w="1367" w:type="dxa"/>
            <w:noWrap w:val="0"/>
            <w:vAlign w:val="center"/>
          </w:tcPr>
          <w:p w14:paraId="1A66A885">
            <w:pPr>
              <w:spacing w:line="360" w:lineRule="auto"/>
              <w:jc w:val="center"/>
              <w:rPr>
                <w:rFonts w:ascii="宋体" w:hAnsi="宋体" w:cs="仿宋_GB2312"/>
                <w:kern w:val="0"/>
                <w:lang w:val="zh-CN"/>
              </w:rPr>
            </w:pPr>
            <w:r>
              <w:rPr>
                <w:rFonts w:hint="eastAsia" w:ascii="宋体" w:hAnsi="宋体" w:cs="仿宋_GB2312"/>
                <w:kern w:val="0"/>
                <w:lang w:val="zh-CN"/>
              </w:rPr>
              <w:t>文档</w:t>
            </w:r>
          </w:p>
        </w:tc>
      </w:tr>
      <w:tr w14:paraId="0809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9" w:type="dxa"/>
            <w:noWrap w:val="0"/>
            <w:vAlign w:val="center"/>
          </w:tcPr>
          <w:p w14:paraId="5B3EDD46">
            <w:pPr>
              <w:spacing w:line="360" w:lineRule="auto"/>
              <w:jc w:val="left"/>
              <w:rPr>
                <w:rFonts w:ascii="宋体" w:hAnsi="宋体" w:cs="仿宋_GB2312"/>
                <w:kern w:val="0"/>
                <w:lang w:val="zh-CN"/>
              </w:rPr>
            </w:pPr>
            <w:r>
              <w:rPr>
                <w:rFonts w:hint="eastAsia" w:ascii="宋体" w:hAnsi="宋体" w:cs="仿宋_GB2312"/>
                <w:kern w:val="0"/>
                <w:lang w:val="zh-CN"/>
              </w:rPr>
              <w:t>《终端安全管理系统月/年度运维报告》</w:t>
            </w:r>
          </w:p>
        </w:tc>
        <w:tc>
          <w:tcPr>
            <w:tcW w:w="2610" w:type="dxa"/>
            <w:noWrap w:val="0"/>
            <w:vAlign w:val="center"/>
          </w:tcPr>
          <w:p w14:paraId="3B18AAF2">
            <w:pPr>
              <w:spacing w:line="360" w:lineRule="auto"/>
              <w:jc w:val="center"/>
              <w:rPr>
                <w:rFonts w:ascii="宋体" w:hAnsi="宋体" w:cs="仿宋_GB2312"/>
                <w:kern w:val="0"/>
                <w:lang w:val="zh-CN"/>
              </w:rPr>
            </w:pPr>
            <w:r>
              <w:rPr>
                <w:rFonts w:hint="eastAsia" w:ascii="宋体" w:hAnsi="宋体" w:cs="仿宋_GB2312"/>
                <w:kern w:val="0"/>
                <w:lang w:val="zh-CN"/>
              </w:rPr>
              <w:t>每月/年一次</w:t>
            </w:r>
          </w:p>
        </w:tc>
        <w:tc>
          <w:tcPr>
            <w:tcW w:w="1367" w:type="dxa"/>
            <w:noWrap w:val="0"/>
            <w:vAlign w:val="center"/>
          </w:tcPr>
          <w:p w14:paraId="794BD0DA">
            <w:pPr>
              <w:spacing w:line="360" w:lineRule="auto"/>
              <w:jc w:val="center"/>
              <w:rPr>
                <w:rFonts w:ascii="宋体" w:hAnsi="宋体" w:cs="仿宋_GB2312"/>
                <w:kern w:val="0"/>
                <w:lang w:val="zh-CN"/>
              </w:rPr>
            </w:pPr>
            <w:r>
              <w:rPr>
                <w:rFonts w:hint="eastAsia" w:ascii="宋体" w:hAnsi="宋体" w:cs="仿宋_GB2312"/>
                <w:kern w:val="0"/>
                <w:lang w:val="zh-CN"/>
              </w:rPr>
              <w:t>文档</w:t>
            </w:r>
          </w:p>
        </w:tc>
      </w:tr>
      <w:tr w14:paraId="0E97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9" w:type="dxa"/>
            <w:noWrap w:val="0"/>
            <w:vAlign w:val="center"/>
          </w:tcPr>
          <w:p w14:paraId="7C092E1A">
            <w:pPr>
              <w:spacing w:line="360" w:lineRule="auto"/>
              <w:jc w:val="left"/>
              <w:rPr>
                <w:rFonts w:ascii="宋体" w:hAnsi="宋体" w:cs="仿宋_GB2312"/>
                <w:kern w:val="0"/>
                <w:lang w:val="zh-CN"/>
              </w:rPr>
            </w:pPr>
            <w:r>
              <w:rPr>
                <w:rFonts w:hint="eastAsia" w:ascii="宋体" w:hAnsi="宋体" w:cs="仿宋_GB2312"/>
                <w:kern w:val="0"/>
                <w:lang w:val="zh-CN"/>
              </w:rPr>
              <w:t>驻场运营服务汇报</w:t>
            </w:r>
          </w:p>
        </w:tc>
        <w:tc>
          <w:tcPr>
            <w:tcW w:w="2610" w:type="dxa"/>
            <w:noWrap w:val="0"/>
            <w:vAlign w:val="center"/>
          </w:tcPr>
          <w:p w14:paraId="05D63F62">
            <w:pPr>
              <w:spacing w:line="360" w:lineRule="auto"/>
              <w:jc w:val="center"/>
              <w:rPr>
                <w:rFonts w:ascii="宋体" w:hAnsi="宋体" w:cs="仿宋_GB2312"/>
                <w:kern w:val="0"/>
                <w:lang w:val="zh-CN"/>
              </w:rPr>
            </w:pPr>
            <w:r>
              <w:rPr>
                <w:rFonts w:hint="eastAsia" w:ascii="宋体" w:hAnsi="宋体" w:cs="仿宋_GB2312"/>
                <w:kern w:val="0"/>
                <w:lang w:val="zh-CN"/>
              </w:rPr>
              <w:t>按需</w:t>
            </w:r>
          </w:p>
        </w:tc>
        <w:tc>
          <w:tcPr>
            <w:tcW w:w="1367" w:type="dxa"/>
            <w:noWrap w:val="0"/>
            <w:vAlign w:val="center"/>
          </w:tcPr>
          <w:p w14:paraId="575CFDEF">
            <w:pPr>
              <w:spacing w:line="360" w:lineRule="auto"/>
              <w:jc w:val="center"/>
              <w:rPr>
                <w:rFonts w:ascii="宋体" w:hAnsi="宋体" w:cs="仿宋_GB2312"/>
                <w:kern w:val="0"/>
                <w:lang w:val="zh-CN"/>
              </w:rPr>
            </w:pPr>
            <w:r>
              <w:rPr>
                <w:rFonts w:hint="eastAsia" w:ascii="宋体" w:hAnsi="宋体" w:cs="仿宋_GB2312"/>
                <w:kern w:val="0"/>
                <w:lang w:val="zh-CN"/>
              </w:rPr>
              <w:t>现场汇报</w:t>
            </w:r>
          </w:p>
        </w:tc>
      </w:tr>
      <w:tr w14:paraId="4133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9" w:type="dxa"/>
            <w:noWrap w:val="0"/>
            <w:vAlign w:val="center"/>
          </w:tcPr>
          <w:p w14:paraId="65881B07">
            <w:pPr>
              <w:spacing w:line="360" w:lineRule="auto"/>
              <w:jc w:val="left"/>
              <w:rPr>
                <w:rFonts w:ascii="宋体" w:hAnsi="宋体" w:cs="仿宋_GB2312"/>
                <w:kern w:val="0"/>
                <w:lang w:val="zh-CN"/>
              </w:rPr>
            </w:pPr>
            <w:r>
              <w:rPr>
                <w:rFonts w:hint="eastAsia" w:ascii="宋体" w:hAnsi="宋体" w:cs="仿宋_GB2312"/>
                <w:kern w:val="0"/>
                <w:lang w:val="zh-CN"/>
              </w:rPr>
              <w:t>《运营值守工作周报》</w:t>
            </w:r>
          </w:p>
        </w:tc>
        <w:tc>
          <w:tcPr>
            <w:tcW w:w="2610" w:type="dxa"/>
            <w:noWrap w:val="0"/>
            <w:vAlign w:val="center"/>
          </w:tcPr>
          <w:p w14:paraId="042F10BA">
            <w:pPr>
              <w:spacing w:line="360" w:lineRule="auto"/>
              <w:jc w:val="center"/>
              <w:rPr>
                <w:rFonts w:ascii="宋体" w:hAnsi="宋体" w:cs="仿宋_GB2312"/>
                <w:kern w:val="0"/>
                <w:lang w:val="zh-CN"/>
              </w:rPr>
            </w:pPr>
            <w:r>
              <w:rPr>
                <w:rFonts w:hint="eastAsia" w:ascii="宋体" w:hAnsi="宋体" w:cs="仿宋_GB2312"/>
                <w:kern w:val="0"/>
                <w:lang w:val="zh-CN"/>
              </w:rPr>
              <w:t>每周一次</w:t>
            </w:r>
          </w:p>
        </w:tc>
        <w:tc>
          <w:tcPr>
            <w:tcW w:w="1367" w:type="dxa"/>
            <w:noWrap w:val="0"/>
            <w:vAlign w:val="center"/>
          </w:tcPr>
          <w:p w14:paraId="68CF7BAB">
            <w:pPr>
              <w:spacing w:line="360" w:lineRule="auto"/>
              <w:jc w:val="center"/>
              <w:rPr>
                <w:rFonts w:ascii="宋体" w:hAnsi="宋体" w:cs="仿宋_GB2312"/>
                <w:kern w:val="0"/>
                <w:lang w:val="zh-CN"/>
              </w:rPr>
            </w:pPr>
            <w:r>
              <w:rPr>
                <w:rFonts w:hint="eastAsia" w:ascii="宋体" w:hAnsi="宋体" w:cs="仿宋_GB2312"/>
                <w:kern w:val="0"/>
                <w:lang w:val="zh-CN"/>
              </w:rPr>
              <w:t>文档</w:t>
            </w:r>
          </w:p>
        </w:tc>
      </w:tr>
    </w:tbl>
    <w:p w14:paraId="6550A02B"/>
    <w:p w14:paraId="0A5C3F76">
      <w:pPr>
        <w:tabs>
          <w:tab w:val="left" w:pos="510"/>
          <w:tab w:val="left" w:pos="540"/>
        </w:tabs>
        <w:adjustRightInd w:val="0"/>
        <w:spacing w:line="360" w:lineRule="auto"/>
        <w:ind w:left="426" w:leftChars="203"/>
        <w:rPr>
          <w:rFonts w:hint="eastAsia" w:ascii="宋体" w:hAnsi="宋体" w:cs="仿宋_GB2312"/>
          <w:szCs w:val="28"/>
        </w:rPr>
      </w:pPr>
      <w:bookmarkStart w:id="38" w:name="_Toc2354"/>
      <w:bookmarkStart w:id="39" w:name="_Toc28187"/>
      <w:bookmarkStart w:id="40" w:name="_Toc26017"/>
      <w:bookmarkStart w:id="41" w:name="_Toc25093"/>
      <w:r>
        <w:rPr>
          <w:rFonts w:hint="eastAsia" w:ascii="宋体" w:hAnsi="宋体" w:cs="仿宋_GB2312"/>
          <w:b/>
          <w:sz w:val="24"/>
          <w:szCs w:val="28"/>
        </w:rPr>
        <w:t>2、</w:t>
      </w:r>
      <w:r>
        <w:rPr>
          <w:rFonts w:hint="eastAsia" w:ascii="宋体" w:hAnsi="宋体"/>
          <w:b/>
        </w:rPr>
        <w:t>安全运营服务</w:t>
      </w:r>
      <w:bookmarkEnd w:id="38"/>
      <w:bookmarkEnd w:id="39"/>
      <w:bookmarkEnd w:id="40"/>
      <w:bookmarkEnd w:id="41"/>
    </w:p>
    <w:p w14:paraId="09DDFCB3">
      <w:pPr>
        <w:tabs>
          <w:tab w:val="left" w:pos="510"/>
          <w:tab w:val="left" w:pos="540"/>
        </w:tabs>
        <w:adjustRightInd w:val="0"/>
        <w:spacing w:line="360" w:lineRule="auto"/>
        <w:ind w:left="426" w:leftChars="203"/>
        <w:rPr>
          <w:rFonts w:hint="eastAsia" w:ascii="宋体" w:hAnsi="宋体" w:cs="仿宋_GB2312"/>
          <w:b/>
          <w:szCs w:val="21"/>
        </w:rPr>
      </w:pPr>
      <w:bookmarkStart w:id="42" w:name="_Toc31064"/>
      <w:bookmarkStart w:id="43" w:name="_Toc24475"/>
      <w:bookmarkStart w:id="44" w:name="_Toc3492"/>
      <w:bookmarkStart w:id="45" w:name="_Toc12828"/>
      <w:r>
        <w:rPr>
          <w:rFonts w:hint="eastAsia" w:ascii="宋体" w:hAnsi="宋体" w:cs="仿宋_GB2312"/>
          <w:b/>
          <w:szCs w:val="21"/>
        </w:rPr>
        <w:t>2.1安全运营托管服务框架</w:t>
      </w:r>
      <w:bookmarkEnd w:id="42"/>
      <w:bookmarkEnd w:id="43"/>
      <w:bookmarkEnd w:id="44"/>
      <w:bookmarkEnd w:id="45"/>
    </w:p>
    <w:p w14:paraId="5A9F1AD4">
      <w:pPr>
        <w:tabs>
          <w:tab w:val="left" w:pos="510"/>
          <w:tab w:val="left" w:pos="540"/>
        </w:tabs>
        <w:adjustRightInd w:val="0"/>
        <w:spacing w:line="360" w:lineRule="auto"/>
        <w:ind w:firstLine="420" w:firstLineChars="200"/>
        <w:rPr>
          <w:rFonts w:hint="eastAsia" w:ascii="宋体" w:hAnsi="宋体" w:cs="仿宋_GB2312"/>
          <w:szCs w:val="21"/>
        </w:rPr>
      </w:pPr>
      <w:r>
        <w:rPr>
          <w:rFonts w:hint="eastAsia" w:ascii="宋体" w:hAnsi="宋体" w:cs="仿宋_GB2312"/>
          <w:szCs w:val="21"/>
        </w:rPr>
        <w:t>安全运营托管服务以采购人的安全运营托管工作编排为主要工作，梳理清楚运营工作需要开展的具体事务，安全运营托管工作包括依托安全运营与安全运营托管平台开展的资产管理、漏洞管理、威胁分析、预警通知等工作，并且通过云端收集安全运营平台的威胁告警数据包括流量设备告警、安全设备的告警、系统告警等数据进行关联分析和研判，为采购人提供资产、威胁、脆弱性等方面的综合分析服务，帮助客户精准识别和监测网络中的安全威胁，并对确认的威胁事件及时通知客户、主动进行响应，协助客户完成威胁事件的处置闭环工作。通过持续开展运营工作可掌握采购人自身的资产情况，及时发现面临的内外部威胁风险等，提高自身的安全体系健壮性，并定期对运营实施过程中的风险进行评估并改进，确保采购人安全运营工作的质量。</w:t>
      </w:r>
    </w:p>
    <w:p w14:paraId="6B4860D7">
      <w:pPr>
        <w:tabs>
          <w:tab w:val="left" w:pos="510"/>
          <w:tab w:val="left" w:pos="540"/>
        </w:tabs>
        <w:adjustRightInd w:val="0"/>
        <w:spacing w:line="360" w:lineRule="auto"/>
        <w:ind w:left="426" w:leftChars="203"/>
        <w:rPr>
          <w:rFonts w:hint="eastAsia" w:ascii="宋体" w:hAnsi="宋体" w:cs="仿宋_GB2312"/>
          <w:b/>
          <w:szCs w:val="21"/>
        </w:rPr>
      </w:pPr>
      <w:bookmarkStart w:id="46" w:name="_Toc21586"/>
      <w:bookmarkStart w:id="47" w:name="_Toc27916"/>
      <w:bookmarkStart w:id="48" w:name="_Toc22441"/>
      <w:bookmarkStart w:id="49" w:name="_Toc12831"/>
      <w:r>
        <w:rPr>
          <w:rFonts w:hint="eastAsia" w:ascii="宋体" w:hAnsi="宋体" w:cs="仿宋_GB2312"/>
          <w:b/>
          <w:szCs w:val="21"/>
        </w:rPr>
        <w:t>2.2安全运营托管服务内容</w:t>
      </w:r>
      <w:bookmarkEnd w:id="46"/>
      <w:bookmarkEnd w:id="47"/>
      <w:bookmarkEnd w:id="48"/>
      <w:bookmarkEnd w:id="49"/>
    </w:p>
    <w:p w14:paraId="7F210C5D">
      <w:pPr>
        <w:tabs>
          <w:tab w:val="left" w:pos="510"/>
          <w:tab w:val="left" w:pos="540"/>
        </w:tabs>
        <w:adjustRightInd w:val="0"/>
        <w:spacing w:line="360" w:lineRule="auto"/>
        <w:ind w:firstLine="420" w:firstLineChars="200"/>
        <w:rPr>
          <w:rFonts w:hint="eastAsia" w:ascii="宋体" w:hAnsi="宋体" w:cs="仿宋_GB2312"/>
          <w:szCs w:val="21"/>
        </w:rPr>
      </w:pPr>
      <w:r>
        <w:rPr>
          <w:rFonts w:hint="eastAsia"/>
          <w:szCs w:val="21"/>
        </w:rPr>
        <w:t>总体安全运营托管运营服务能力包括资产管理、安全监测、威胁分析、漏洞管理、事件处置管理、平台巡检、关联规则优化、运营技术培训等，具体内容如下：</w:t>
      </w:r>
    </w:p>
    <w:p w14:paraId="6553A27B">
      <w:pPr>
        <w:tabs>
          <w:tab w:val="left" w:pos="510"/>
          <w:tab w:val="left" w:pos="540"/>
          <w:tab w:val="left" w:pos="993"/>
          <w:tab w:val="left" w:pos="1134"/>
        </w:tabs>
        <w:adjustRightInd w:val="0"/>
        <w:spacing w:line="360" w:lineRule="auto"/>
        <w:ind w:left="426" w:leftChars="203"/>
        <w:rPr>
          <w:rFonts w:hint="eastAsia" w:ascii="宋体" w:hAnsi="宋体"/>
          <w:b/>
          <w:szCs w:val="21"/>
        </w:rPr>
      </w:pPr>
      <w:r>
        <w:rPr>
          <w:rFonts w:hint="eastAsia" w:ascii="宋体" w:hAnsi="宋体"/>
          <w:b/>
          <w:szCs w:val="21"/>
        </w:rPr>
        <w:t>2.2.1资产管理</w:t>
      </w:r>
    </w:p>
    <w:p w14:paraId="02357615">
      <w:pPr>
        <w:tabs>
          <w:tab w:val="left" w:pos="510"/>
          <w:tab w:val="left" w:pos="540"/>
        </w:tabs>
        <w:adjustRightInd w:val="0"/>
        <w:spacing w:line="360" w:lineRule="auto"/>
        <w:ind w:firstLine="420" w:firstLineChars="200"/>
        <w:rPr>
          <w:rFonts w:hint="eastAsia"/>
          <w:szCs w:val="21"/>
        </w:rPr>
      </w:pPr>
      <w:r>
        <w:rPr>
          <w:rFonts w:hint="eastAsia"/>
          <w:szCs w:val="21"/>
        </w:rPr>
        <w:t>运营人员需要通过态势感知与运营平台，对网内资产进行管理，保证资产信息全面准确。能够管理网络中的主机设备、办公终端、网络设备、安全设备、应用系统等，协助客户建立完整的资产档案信息，维护资产分类和资产属性，能够从组织架构、地理位置、业务分组等不同纬度进行资产的维护和管理。针对不同的资产类别，有针对性的梳理资产的关键信息，保证资产信息的良好的可用性，具体梳理资产范围包括但不限于如下内容：</w:t>
      </w:r>
    </w:p>
    <w:p w14:paraId="7B4B7BDD">
      <w:pPr>
        <w:tabs>
          <w:tab w:val="left" w:pos="510"/>
          <w:tab w:val="left" w:pos="540"/>
        </w:tabs>
        <w:adjustRightInd w:val="0"/>
        <w:spacing w:line="360" w:lineRule="auto"/>
        <w:ind w:firstLine="420" w:firstLineChars="200"/>
        <w:rPr>
          <w:rFonts w:hint="eastAsia"/>
          <w:szCs w:val="21"/>
        </w:rPr>
      </w:pPr>
      <w:r>
        <w:rPr>
          <w:rFonts w:hint="eastAsia"/>
          <w:szCs w:val="21"/>
        </w:rPr>
        <w:t>主机类资产 ：搜集IP、开放端口、中间件及版本（如：Apache、Tomcat、WebLogic、Nginx）、数据库及版本（如：PostgreSQL、MySQL、SQL Server、 Oracle）、承载业务、开发语言（如：Java、PHP）、操作系统（Windows、Linux）、安全域（如：开放区、核心区、隔离区）、是否面向互联网、责任人及部门等信息。</w:t>
      </w:r>
    </w:p>
    <w:p w14:paraId="4B11DF55">
      <w:pPr>
        <w:tabs>
          <w:tab w:val="left" w:pos="510"/>
          <w:tab w:val="left" w:pos="540"/>
        </w:tabs>
        <w:adjustRightInd w:val="0"/>
        <w:spacing w:line="360" w:lineRule="auto"/>
        <w:ind w:firstLine="420" w:firstLineChars="200"/>
        <w:rPr>
          <w:rFonts w:hint="eastAsia"/>
          <w:szCs w:val="21"/>
        </w:rPr>
      </w:pPr>
      <w:r>
        <w:rPr>
          <w:rFonts w:hint="eastAsia"/>
          <w:szCs w:val="21"/>
        </w:rPr>
        <w:t>网络设备类资产：搜集IP、厂商、设备类型（如：VPN、负载、代理服务器、路由器、交换机）、型号、版本、负责人及部门等信息。</w:t>
      </w:r>
    </w:p>
    <w:p w14:paraId="13CB35AA">
      <w:pPr>
        <w:tabs>
          <w:tab w:val="left" w:pos="510"/>
          <w:tab w:val="left" w:pos="540"/>
        </w:tabs>
        <w:adjustRightInd w:val="0"/>
        <w:spacing w:line="360" w:lineRule="auto"/>
        <w:ind w:firstLine="420" w:firstLineChars="200"/>
        <w:rPr>
          <w:rFonts w:hint="eastAsia"/>
          <w:szCs w:val="21"/>
        </w:rPr>
      </w:pPr>
      <w:r>
        <w:rPr>
          <w:rFonts w:hint="eastAsia"/>
          <w:szCs w:val="21"/>
        </w:rPr>
        <w:t>安全设备类资产 ：搜集IP、厂商、设备类型（如：IDS、IPS、AV、UTM、WAF）、型号、版本、责任人及部门。</w:t>
      </w:r>
    </w:p>
    <w:p w14:paraId="5ED67AF7">
      <w:pPr>
        <w:tabs>
          <w:tab w:val="left" w:pos="510"/>
          <w:tab w:val="left" w:pos="540"/>
        </w:tabs>
        <w:adjustRightInd w:val="0"/>
        <w:spacing w:line="360" w:lineRule="auto"/>
        <w:ind w:firstLine="420" w:firstLineChars="200"/>
        <w:rPr>
          <w:szCs w:val="21"/>
        </w:rPr>
      </w:pPr>
      <w:r>
        <w:rPr>
          <w:rFonts w:hint="eastAsia"/>
          <w:szCs w:val="21"/>
        </w:rPr>
        <w:t>工作主机类资产：搜集IP、使用操作系统及版本、设备类型（终端、工作站等）、型号、责任人、责任人部门。</w:t>
      </w:r>
    </w:p>
    <w:p w14:paraId="02BBEB83">
      <w:pPr>
        <w:tabs>
          <w:tab w:val="left" w:pos="510"/>
          <w:tab w:val="left" w:pos="540"/>
          <w:tab w:val="left" w:pos="993"/>
          <w:tab w:val="left" w:pos="1134"/>
        </w:tabs>
        <w:adjustRightInd w:val="0"/>
        <w:spacing w:line="360" w:lineRule="auto"/>
        <w:ind w:left="426" w:leftChars="203"/>
        <w:rPr>
          <w:rFonts w:hint="eastAsia" w:ascii="宋体" w:hAnsi="宋体"/>
          <w:b/>
          <w:szCs w:val="21"/>
        </w:rPr>
      </w:pPr>
      <w:r>
        <w:rPr>
          <w:rFonts w:hint="eastAsia" w:ascii="宋体" w:hAnsi="宋体"/>
          <w:b/>
          <w:szCs w:val="21"/>
        </w:rPr>
        <w:t>2.2.2安全监测</w:t>
      </w:r>
    </w:p>
    <w:p w14:paraId="4DD0F94B">
      <w:pPr>
        <w:tabs>
          <w:tab w:val="left" w:pos="510"/>
          <w:tab w:val="left" w:pos="540"/>
        </w:tabs>
        <w:adjustRightInd w:val="0"/>
        <w:spacing w:line="360" w:lineRule="auto"/>
        <w:ind w:firstLine="420" w:firstLineChars="200"/>
        <w:rPr>
          <w:rFonts w:hint="eastAsia"/>
        </w:rPr>
      </w:pPr>
      <w:r>
        <w:rPr>
          <w:rFonts w:hint="eastAsia"/>
          <w:szCs w:val="21"/>
        </w:rPr>
        <w:t>运营人员开展日常监控工作，筛选过滤告警日志，记录并统计告警信息，协助告警信息的通告下发，定期跟踪事件处置情况，高危安全事件的通告工作等。一是对各单位中关键网站等业务的运行状态以及DDoS攻击、网页篡改、网站挂马、网站漏洞告警进行监测；二是对网络及重点单位关键基础设施的恶意软件、入侵攻击、安全隐患进行检测；三是对关键信息系统专项威胁进行监测，如：APT攻击、漏洞利用攻击、仿冒网站、网络钓鱼、</w:t>
      </w:r>
      <w:r>
        <w:rPr>
          <w:rFonts w:hint="eastAsia"/>
        </w:rPr>
        <w:t>僵木蠕毒进行监测；四是针对特定目标与针对特定目标的攻击进行监测。</w:t>
      </w:r>
    </w:p>
    <w:p w14:paraId="5DEF8DC2">
      <w:pPr>
        <w:tabs>
          <w:tab w:val="left" w:pos="510"/>
          <w:tab w:val="left" w:pos="540"/>
          <w:tab w:val="left" w:pos="993"/>
          <w:tab w:val="left" w:pos="1134"/>
        </w:tabs>
        <w:adjustRightInd w:val="0"/>
        <w:spacing w:line="360" w:lineRule="auto"/>
        <w:ind w:left="420" w:hanging="420"/>
        <w:rPr>
          <w:rFonts w:hint="eastAsia" w:ascii="宋体" w:hAnsi="宋体"/>
          <w:b/>
        </w:rPr>
      </w:pPr>
      <w:r>
        <w:rPr>
          <w:rFonts w:hint="eastAsia" w:ascii="宋体" w:hAnsi="宋体"/>
          <w:b/>
          <w:sz w:val="24"/>
        </w:rPr>
        <w:t xml:space="preserve">  </w:t>
      </w:r>
      <w:r>
        <w:rPr>
          <w:rFonts w:hint="eastAsia" w:ascii="宋体" w:hAnsi="宋体"/>
          <w:b/>
          <w:szCs w:val="21"/>
        </w:rPr>
        <w:t xml:space="preserve"> 2.2.3威胁分析</w:t>
      </w:r>
    </w:p>
    <w:p w14:paraId="20C382ED">
      <w:pPr>
        <w:tabs>
          <w:tab w:val="left" w:pos="510"/>
          <w:tab w:val="left" w:pos="540"/>
        </w:tabs>
        <w:adjustRightInd w:val="0"/>
        <w:spacing w:line="360" w:lineRule="auto"/>
        <w:ind w:firstLine="420" w:firstLineChars="200"/>
        <w:rPr>
          <w:rFonts w:hint="eastAsia"/>
        </w:rPr>
      </w:pPr>
      <w:r>
        <w:rPr>
          <w:rFonts w:hint="eastAsia"/>
        </w:rPr>
        <w:t>运营人员通过基于外部采集的安全日志、网络流量日志或服务器日志数据为基础，结合平台先进的威胁情报检测能力、丰富的关联规则、强大的机器学习检测能力，开展日志关联分析和威胁情报关联分析，为采购人提供真实准确的威胁情况。一是对整体网络安全态势进行分析与呈现；二是对来自互联网威胁态势进行分析与呈现（如欺诈钓鱼、僵木蠕毒等）；三是对特定目标遭受到网络攻击的态势进行分析与呈现，如网站的安全态势、重点单位关键设备的安全态势和专项威胁的安全态势。</w:t>
      </w:r>
    </w:p>
    <w:p w14:paraId="0BAD80D7">
      <w:pPr>
        <w:tabs>
          <w:tab w:val="left" w:pos="510"/>
          <w:tab w:val="left" w:pos="540"/>
        </w:tabs>
        <w:adjustRightInd w:val="0"/>
        <w:spacing w:line="360" w:lineRule="auto"/>
        <w:ind w:firstLine="420" w:firstLineChars="200"/>
        <w:rPr>
          <w:rFonts w:hint="eastAsia"/>
        </w:rPr>
      </w:pPr>
      <w:r>
        <w:rPr>
          <w:rFonts w:hint="eastAsia"/>
        </w:rPr>
        <w:t>Web失陷检测服务是通过自身web应用访问日志的大数据能力进行空间和实践维度的关联分析，发现网络中潜在的失陷主机，并基于大数据溯源技术，找到问题发生的根本原因。攻击者威胁情报中包含了该攻击者在不同时间段使用的IP，可根据攻击者不同的技能能力制定相应的技术防御策略，或使用边界安全防护类设备对IP进行实时阻断。</w:t>
      </w:r>
    </w:p>
    <w:p w14:paraId="746B0746">
      <w:pPr>
        <w:tabs>
          <w:tab w:val="left" w:pos="510"/>
          <w:tab w:val="left" w:pos="540"/>
        </w:tabs>
        <w:adjustRightInd w:val="0"/>
        <w:spacing w:line="360" w:lineRule="auto"/>
        <w:ind w:firstLine="420" w:firstLineChars="200"/>
        <w:rPr>
          <w:rFonts w:hint="eastAsia"/>
        </w:rPr>
      </w:pPr>
      <w:r>
        <w:rPr>
          <w:rFonts w:hint="eastAsia"/>
        </w:rPr>
        <w:t>（1）邮件行为分析服务</w:t>
      </w:r>
    </w:p>
    <w:p w14:paraId="2BD6CEB1">
      <w:pPr>
        <w:tabs>
          <w:tab w:val="left" w:pos="510"/>
          <w:tab w:val="left" w:pos="540"/>
        </w:tabs>
        <w:adjustRightInd w:val="0"/>
        <w:spacing w:line="360" w:lineRule="auto"/>
        <w:ind w:firstLine="420" w:firstLineChars="200"/>
        <w:rPr>
          <w:rFonts w:hint="eastAsia"/>
        </w:rPr>
      </w:pPr>
      <w:r>
        <w:rPr>
          <w:rFonts w:hint="eastAsia"/>
        </w:rPr>
        <w:t>邮件行为分析服务主要是针对网络中的邮件服务器信息传输进行梳理分析，发现邮件异常行为。</w:t>
      </w:r>
    </w:p>
    <w:p w14:paraId="2E7F4F20">
      <w:pPr>
        <w:tabs>
          <w:tab w:val="left" w:pos="510"/>
          <w:tab w:val="left" w:pos="540"/>
        </w:tabs>
        <w:adjustRightInd w:val="0"/>
        <w:spacing w:line="360" w:lineRule="auto"/>
        <w:ind w:firstLine="420" w:firstLineChars="200"/>
        <w:rPr>
          <w:rFonts w:hint="eastAsia"/>
        </w:rPr>
      </w:pPr>
      <w:r>
        <w:rPr>
          <w:rFonts w:hint="eastAsia"/>
        </w:rPr>
        <w:t xml:space="preserve"> （2）非常规检测分析服务</w:t>
      </w:r>
    </w:p>
    <w:p w14:paraId="35B2588F">
      <w:pPr>
        <w:tabs>
          <w:tab w:val="left" w:pos="510"/>
          <w:tab w:val="left" w:pos="540"/>
        </w:tabs>
        <w:adjustRightInd w:val="0"/>
        <w:spacing w:line="360" w:lineRule="auto"/>
        <w:ind w:firstLine="420" w:firstLineChars="200"/>
        <w:rPr>
          <w:rFonts w:hint="eastAsia"/>
        </w:rPr>
      </w:pPr>
      <w:r>
        <w:rPr>
          <w:rFonts w:hint="eastAsia"/>
        </w:rPr>
        <w:t>非常规检测分析服务主要是针对网络中存在的一些非常规类代理进行梳理分析。服务可发现的信息包括：源IP、目的IP、代理地址、代理方式、使用次数等。</w:t>
      </w:r>
    </w:p>
    <w:p w14:paraId="2D383A1A">
      <w:pPr>
        <w:tabs>
          <w:tab w:val="left" w:pos="510"/>
          <w:tab w:val="left" w:pos="540"/>
        </w:tabs>
        <w:adjustRightInd w:val="0"/>
        <w:spacing w:line="360" w:lineRule="auto"/>
        <w:ind w:firstLine="420" w:firstLineChars="200"/>
        <w:rPr>
          <w:rFonts w:hint="eastAsia"/>
        </w:rPr>
      </w:pPr>
      <w:r>
        <w:rPr>
          <w:rFonts w:hint="eastAsia"/>
        </w:rPr>
        <w:t xml:space="preserve"> （3）账号登录行为分析服务</w:t>
      </w:r>
    </w:p>
    <w:p w14:paraId="0FFFAEBC">
      <w:pPr>
        <w:tabs>
          <w:tab w:val="left" w:pos="510"/>
          <w:tab w:val="left" w:pos="540"/>
        </w:tabs>
        <w:adjustRightInd w:val="0"/>
        <w:spacing w:line="360" w:lineRule="auto"/>
        <w:ind w:firstLine="420" w:firstLineChars="200"/>
        <w:rPr>
          <w:rFonts w:hint="eastAsia"/>
        </w:rPr>
      </w:pPr>
      <w:r>
        <w:rPr>
          <w:rFonts w:hint="eastAsia"/>
        </w:rPr>
        <w:t>登录行为分析服务主要是针对网络中存在的登录行为进行梳理分析，发现异常登录行为。</w:t>
      </w:r>
    </w:p>
    <w:p w14:paraId="187F4DA9">
      <w:pPr>
        <w:tabs>
          <w:tab w:val="left" w:pos="510"/>
          <w:tab w:val="left" w:pos="540"/>
        </w:tabs>
        <w:adjustRightInd w:val="0"/>
        <w:spacing w:line="360" w:lineRule="auto"/>
        <w:ind w:firstLine="420" w:firstLineChars="200"/>
        <w:rPr>
          <w:rFonts w:hint="eastAsia"/>
        </w:rPr>
      </w:pPr>
      <w:r>
        <w:rPr>
          <w:rFonts w:hint="eastAsia"/>
        </w:rPr>
        <w:t>（4）服务器危险行为分析服务</w:t>
      </w:r>
    </w:p>
    <w:p w14:paraId="2A11332D">
      <w:pPr>
        <w:tabs>
          <w:tab w:val="left" w:pos="510"/>
          <w:tab w:val="left" w:pos="540"/>
        </w:tabs>
        <w:adjustRightInd w:val="0"/>
        <w:spacing w:line="360" w:lineRule="auto"/>
        <w:ind w:firstLine="420" w:firstLineChars="200"/>
        <w:rPr>
          <w:rFonts w:hint="eastAsia"/>
        </w:rPr>
      </w:pPr>
      <w:r>
        <w:rPr>
          <w:rFonts w:hint="eastAsia"/>
        </w:rPr>
        <w:t>服务器危险行为分析服务主要是针对网络服务器存在的高危漏洞的服务进行梳理，发现服务器安全风险。</w:t>
      </w:r>
    </w:p>
    <w:p w14:paraId="186BC3E8">
      <w:pPr>
        <w:tabs>
          <w:tab w:val="left" w:pos="510"/>
          <w:tab w:val="left" w:pos="540"/>
          <w:tab w:val="left" w:pos="993"/>
          <w:tab w:val="left" w:pos="1134"/>
        </w:tabs>
        <w:adjustRightInd w:val="0"/>
        <w:spacing w:line="360" w:lineRule="auto"/>
        <w:ind w:left="420" w:hanging="420"/>
        <w:rPr>
          <w:rFonts w:hint="eastAsia" w:ascii="宋体" w:hAnsi="宋体"/>
          <w:b/>
        </w:rPr>
      </w:pPr>
      <w:r>
        <w:rPr>
          <w:rFonts w:hint="eastAsia" w:ascii="宋体" w:hAnsi="宋体"/>
          <w:b/>
          <w:sz w:val="24"/>
        </w:rPr>
        <w:t xml:space="preserve"> </w:t>
      </w:r>
      <w:r>
        <w:rPr>
          <w:rFonts w:hint="eastAsia" w:ascii="宋体" w:hAnsi="宋体"/>
          <w:b/>
          <w:szCs w:val="21"/>
        </w:rPr>
        <w:t xml:space="preserve">  2.2.4</w:t>
      </w:r>
      <w:r>
        <w:rPr>
          <w:rFonts w:hint="eastAsia" w:ascii="宋体" w:hAnsi="宋体"/>
          <w:b/>
        </w:rPr>
        <w:t>漏洞管理</w:t>
      </w:r>
    </w:p>
    <w:p w14:paraId="594EEC98">
      <w:pPr>
        <w:tabs>
          <w:tab w:val="left" w:pos="510"/>
          <w:tab w:val="left" w:pos="540"/>
        </w:tabs>
        <w:adjustRightInd w:val="0"/>
        <w:spacing w:line="360" w:lineRule="auto"/>
        <w:ind w:firstLine="420" w:firstLineChars="200"/>
        <w:rPr>
          <w:rFonts w:hint="eastAsia"/>
        </w:rPr>
      </w:pPr>
      <w:r>
        <w:rPr>
          <w:rFonts w:hint="eastAsia"/>
        </w:rPr>
        <w:t>运营过程中发现的安全漏洞，结合威胁情报和本地的系统日志，分析漏洞是否有被人员利用的记录，并根据需要对入侵行为进行分析研判和溯源。漏洞扫描是发现漏洞的主要手段，网络中重要的主机系统、网络设备都会出现安全漏洞，漏洞的存在会影响着网络的安全性，如果不对其发现和处置，则会成为潜在的安全风险。需要运营人员对重要主机系统和网络设备漏洞信息的收集和管理。一是运营人员可对漏扫引擎进行集中管理，并对漏洞扫描引擎下发扫描任务，收集漏洞扫描结果，具备主动漏洞检测能力，并支持周期性任务模式，建立完整的持续监控手段；二是运营人员可协助客户导入第三方的扫描结果，提供主流厂家漏洞扫描结果的导入；三是运营人员可帮助用户标记各阶段漏洞所处状态，通过工单系统的联动形成处置闭环，做到对处置流程的全面监控，达到可监可管的目的。四是系统针对扫描后的漏洞结果，自动关联漏洞知识库信息，系统内置的漏洞知识信息，且提供定期的数据更新，可获取最新的漏洞解决方案，帮助用户更好的完成漏洞处置。通过对安全漏洞知识库管理，进行覆盖面广泛的安全漏洞查找，真实、全面地反映主机系统、网络设备、应用系统所存在的网络安全问题和面临的网络安全威胁。</w:t>
      </w:r>
    </w:p>
    <w:p w14:paraId="4C777B0A">
      <w:pPr>
        <w:tabs>
          <w:tab w:val="left" w:pos="510"/>
          <w:tab w:val="left" w:pos="540"/>
          <w:tab w:val="left" w:pos="993"/>
          <w:tab w:val="left" w:pos="1134"/>
        </w:tabs>
        <w:adjustRightInd w:val="0"/>
        <w:spacing w:line="360" w:lineRule="auto"/>
        <w:ind w:left="420" w:hanging="420"/>
        <w:rPr>
          <w:rFonts w:hint="eastAsia" w:ascii="宋体" w:hAnsi="宋体"/>
          <w:b/>
          <w:szCs w:val="21"/>
        </w:rPr>
      </w:pPr>
      <w:r>
        <w:rPr>
          <w:rFonts w:hint="eastAsia" w:ascii="宋体" w:hAnsi="宋体"/>
          <w:b/>
          <w:sz w:val="24"/>
        </w:rPr>
        <w:t xml:space="preserve">   </w:t>
      </w:r>
      <w:r>
        <w:rPr>
          <w:rFonts w:hint="eastAsia" w:ascii="宋体" w:hAnsi="宋体"/>
          <w:b/>
          <w:szCs w:val="21"/>
        </w:rPr>
        <w:t xml:space="preserve"> 2.2.5事件处置管理</w:t>
      </w:r>
    </w:p>
    <w:p w14:paraId="46D800E7">
      <w:pPr>
        <w:tabs>
          <w:tab w:val="left" w:pos="510"/>
          <w:tab w:val="left" w:pos="540"/>
        </w:tabs>
        <w:adjustRightInd w:val="0"/>
        <w:spacing w:line="360" w:lineRule="auto"/>
        <w:ind w:firstLine="420" w:firstLineChars="200"/>
        <w:rPr>
          <w:rFonts w:hint="eastAsia"/>
        </w:rPr>
      </w:pPr>
      <w:r>
        <w:rPr>
          <w:rFonts w:hint="eastAsia"/>
          <w:szCs w:val="21"/>
        </w:rPr>
        <w:t>威胁处置是一个复杂的流程，需要多级、多人的协同配合。运营人员通过监控、分析、通告传递给用户相关情况，协助用户利用平台将告警和漏洞情况通过工单统一跟踪。并将多个人的分析处置结果通过工单统一跟踪和记录，从而使得威胁</w:t>
      </w:r>
      <w:r>
        <w:rPr>
          <w:rFonts w:hint="eastAsia"/>
        </w:rPr>
        <w:t>的处置可追踪。保障每一个威胁都能够通过工单进行及时有效的跟踪，强化了安全威胁的闭环管理，协助客户做好评价与考核工作，确保安全事件有人盯、有人查、有人管。</w:t>
      </w:r>
    </w:p>
    <w:p w14:paraId="48958524">
      <w:pPr>
        <w:tabs>
          <w:tab w:val="left" w:pos="510"/>
          <w:tab w:val="left" w:pos="540"/>
          <w:tab w:val="left" w:pos="993"/>
          <w:tab w:val="left" w:pos="1134"/>
        </w:tabs>
        <w:adjustRightInd w:val="0"/>
        <w:spacing w:line="360" w:lineRule="auto"/>
        <w:ind w:left="420" w:hanging="420"/>
        <w:rPr>
          <w:rFonts w:hint="eastAsia" w:ascii="宋体" w:hAnsi="宋体"/>
          <w:b/>
          <w:szCs w:val="21"/>
        </w:rPr>
      </w:pPr>
      <w:r>
        <w:rPr>
          <w:rFonts w:hint="eastAsia" w:ascii="宋体" w:hAnsi="宋体"/>
          <w:b/>
          <w:sz w:val="24"/>
        </w:rPr>
        <w:t xml:space="preserve">  </w:t>
      </w:r>
      <w:r>
        <w:rPr>
          <w:rFonts w:hint="eastAsia" w:ascii="宋体" w:hAnsi="宋体"/>
          <w:b/>
          <w:szCs w:val="21"/>
        </w:rPr>
        <w:t xml:space="preserve"> 2.2.6调查取证分析</w:t>
      </w:r>
    </w:p>
    <w:p w14:paraId="746E30C7">
      <w:pPr>
        <w:tabs>
          <w:tab w:val="left" w:pos="510"/>
          <w:tab w:val="left" w:pos="540"/>
        </w:tabs>
        <w:adjustRightInd w:val="0"/>
        <w:spacing w:line="360" w:lineRule="auto"/>
        <w:ind w:firstLine="420" w:firstLineChars="200"/>
        <w:rPr>
          <w:rFonts w:hint="eastAsia"/>
          <w:szCs w:val="21"/>
        </w:rPr>
      </w:pPr>
      <w:r>
        <w:rPr>
          <w:rFonts w:hint="eastAsia"/>
          <w:szCs w:val="21"/>
        </w:rPr>
        <w:t>针对各类安全事件进行取证分析，通过对收集网络安全事件告警数据，恶意软件样本，日志流量数据等信息，进行逆向分析，并提供分析记录报告。</w:t>
      </w:r>
    </w:p>
    <w:p w14:paraId="50D9D061">
      <w:pPr>
        <w:tabs>
          <w:tab w:val="left" w:pos="510"/>
          <w:tab w:val="left" w:pos="540"/>
          <w:tab w:val="left" w:pos="993"/>
          <w:tab w:val="left" w:pos="1134"/>
        </w:tabs>
        <w:adjustRightInd w:val="0"/>
        <w:spacing w:line="360" w:lineRule="auto"/>
        <w:ind w:left="420" w:hanging="420"/>
        <w:rPr>
          <w:rFonts w:hint="eastAsia" w:ascii="宋体" w:hAnsi="宋体"/>
          <w:b/>
          <w:szCs w:val="21"/>
        </w:rPr>
      </w:pPr>
      <w:r>
        <w:rPr>
          <w:rFonts w:hint="eastAsia" w:ascii="宋体" w:hAnsi="宋体"/>
          <w:b/>
          <w:szCs w:val="21"/>
        </w:rPr>
        <w:t xml:space="preserve">   2.2.7情报支持</w:t>
      </w:r>
    </w:p>
    <w:p w14:paraId="40286085">
      <w:pPr>
        <w:tabs>
          <w:tab w:val="left" w:pos="510"/>
          <w:tab w:val="left" w:pos="540"/>
        </w:tabs>
        <w:adjustRightInd w:val="0"/>
        <w:spacing w:line="360" w:lineRule="auto"/>
        <w:ind w:firstLine="420" w:firstLineChars="200"/>
        <w:rPr>
          <w:rFonts w:hint="eastAsia"/>
        </w:rPr>
      </w:pPr>
      <w:r>
        <w:rPr>
          <w:rFonts w:hint="eastAsia"/>
          <w:szCs w:val="21"/>
        </w:rPr>
        <w:t>汇集全球数百个威胁情报源和多个安全研究团队的APT事件发现、跟踪成果，提供基于情报及时、精准发现关键威胁的能力，包括APT攻击、蠕虫木马、后门软件、僵尸网络、勒索软件等各种类型，提供本地化、全方位的威胁情报能</w:t>
      </w:r>
      <w:r>
        <w:rPr>
          <w:rFonts w:hint="eastAsia"/>
        </w:rPr>
        <w:t>力，包括及时发现关键威胁、对已有报警进行误报筛除或分级、为事件响应提供决策需要的上下文、提供安全预警能力、提供自有情报运营能力等。</w:t>
      </w:r>
    </w:p>
    <w:p w14:paraId="05BDD18F">
      <w:pPr>
        <w:tabs>
          <w:tab w:val="left" w:pos="510"/>
          <w:tab w:val="left" w:pos="540"/>
          <w:tab w:val="left" w:pos="993"/>
          <w:tab w:val="left" w:pos="1134"/>
        </w:tabs>
        <w:adjustRightInd w:val="0"/>
        <w:spacing w:line="360" w:lineRule="auto"/>
        <w:ind w:left="420" w:hanging="420"/>
        <w:rPr>
          <w:rFonts w:hint="eastAsia" w:ascii="宋体" w:hAnsi="宋体"/>
          <w:b/>
          <w:szCs w:val="21"/>
        </w:rPr>
      </w:pPr>
      <w:r>
        <w:rPr>
          <w:rFonts w:hint="eastAsia" w:ascii="宋体" w:hAnsi="宋体"/>
          <w:b/>
          <w:sz w:val="24"/>
        </w:rPr>
        <w:t xml:space="preserve">   </w:t>
      </w:r>
      <w:r>
        <w:rPr>
          <w:rFonts w:hint="eastAsia" w:ascii="宋体" w:hAnsi="宋体"/>
          <w:b/>
          <w:szCs w:val="21"/>
        </w:rPr>
        <w:t>2.2.8预警通告</w:t>
      </w:r>
    </w:p>
    <w:p w14:paraId="1715BBCD">
      <w:pPr>
        <w:tabs>
          <w:tab w:val="left" w:pos="510"/>
          <w:tab w:val="left" w:pos="540"/>
        </w:tabs>
        <w:adjustRightInd w:val="0"/>
        <w:spacing w:line="360" w:lineRule="auto"/>
        <w:ind w:firstLine="420" w:firstLineChars="200"/>
        <w:rPr>
          <w:rFonts w:hint="eastAsia"/>
          <w:szCs w:val="21"/>
        </w:rPr>
      </w:pPr>
      <w:r>
        <w:rPr>
          <w:rFonts w:hint="eastAsia"/>
          <w:szCs w:val="21"/>
        </w:rPr>
        <w:t>定期为采购人发布最新的安全信息，安全漏洞态势、危急漏洞实例、安全要闻、安全解决方案。</w:t>
      </w:r>
    </w:p>
    <w:p w14:paraId="63240298">
      <w:pPr>
        <w:tabs>
          <w:tab w:val="left" w:pos="510"/>
          <w:tab w:val="left" w:pos="540"/>
        </w:tabs>
        <w:adjustRightInd w:val="0"/>
        <w:spacing w:line="360" w:lineRule="auto"/>
        <w:ind w:left="420" w:hanging="420"/>
        <w:rPr>
          <w:rFonts w:hint="eastAsia" w:ascii="宋体" w:hAnsi="宋体" w:cs="仿宋_GB2312"/>
          <w:b/>
          <w:szCs w:val="21"/>
        </w:rPr>
      </w:pPr>
      <w:r>
        <w:rPr>
          <w:rFonts w:hint="eastAsia" w:ascii="宋体" w:hAnsi="宋体" w:cs="仿宋_GB2312"/>
          <w:b/>
          <w:szCs w:val="21"/>
        </w:rPr>
        <w:t xml:space="preserve">   2.3运营汇报管理</w:t>
      </w:r>
    </w:p>
    <w:p w14:paraId="14EDEC4B">
      <w:pPr>
        <w:tabs>
          <w:tab w:val="left" w:pos="510"/>
          <w:tab w:val="left" w:pos="540"/>
        </w:tabs>
        <w:adjustRightInd w:val="0"/>
        <w:spacing w:line="360" w:lineRule="auto"/>
        <w:ind w:firstLine="420" w:firstLineChars="200"/>
        <w:rPr>
          <w:rFonts w:hint="eastAsia"/>
          <w:szCs w:val="21"/>
        </w:rPr>
      </w:pPr>
      <w:r>
        <w:rPr>
          <w:rFonts w:hint="eastAsia"/>
          <w:szCs w:val="21"/>
        </w:rPr>
        <w:t>运营汇报：安排服务人员在线进行运营情况汇报，进行威胁分析情况解读，并进行疑难解答。</w:t>
      </w:r>
    </w:p>
    <w:p w14:paraId="1BDC8B6C">
      <w:pPr>
        <w:tabs>
          <w:tab w:val="left" w:pos="510"/>
          <w:tab w:val="left" w:pos="540"/>
        </w:tabs>
        <w:adjustRightInd w:val="0"/>
        <w:spacing w:line="360" w:lineRule="auto"/>
        <w:ind w:firstLine="420" w:firstLineChars="200"/>
        <w:rPr>
          <w:rFonts w:hint="eastAsia"/>
          <w:szCs w:val="21"/>
        </w:rPr>
      </w:pPr>
      <w:r>
        <w:rPr>
          <w:rFonts w:hint="eastAsia"/>
          <w:szCs w:val="21"/>
        </w:rPr>
        <w:t>运营解答：通过沟通群对安全运营中的产品问题、安全事件分析问题进行解答。</w:t>
      </w:r>
    </w:p>
    <w:p w14:paraId="5843DD68">
      <w:pPr>
        <w:tabs>
          <w:tab w:val="left" w:pos="510"/>
          <w:tab w:val="left" w:pos="540"/>
        </w:tabs>
        <w:adjustRightInd w:val="0"/>
        <w:spacing w:line="360" w:lineRule="auto"/>
        <w:ind w:left="426" w:leftChars="203"/>
        <w:rPr>
          <w:rFonts w:hint="eastAsia" w:ascii="宋体" w:hAnsi="宋体" w:cs="仿宋_GB2312"/>
          <w:b/>
          <w:szCs w:val="21"/>
        </w:rPr>
      </w:pPr>
      <w:bookmarkStart w:id="50" w:name="_Toc82115360"/>
      <w:bookmarkStart w:id="51" w:name="_Toc85736400"/>
      <w:r>
        <w:rPr>
          <w:rFonts w:hint="eastAsia" w:ascii="宋体" w:hAnsi="宋体" w:cs="仿宋_GB2312"/>
          <w:b/>
          <w:szCs w:val="21"/>
        </w:rPr>
        <w:t>2.3.1 17天×24小时持续运营</w:t>
      </w:r>
      <w:bookmarkEnd w:id="50"/>
      <w:bookmarkEnd w:id="51"/>
    </w:p>
    <w:p w14:paraId="64C7E8A3">
      <w:pPr>
        <w:tabs>
          <w:tab w:val="left" w:pos="510"/>
          <w:tab w:val="left" w:pos="540"/>
        </w:tabs>
        <w:adjustRightInd w:val="0"/>
        <w:spacing w:line="360" w:lineRule="auto"/>
        <w:ind w:firstLine="420" w:firstLineChars="200"/>
      </w:pPr>
      <w:r>
        <w:rPr>
          <w:rFonts w:hint="eastAsia"/>
        </w:rPr>
        <w:t>在安全运营服务持续运营阶段，需要提供安全运营服务团队全天候向用户提供平台巡检、特征库更新、资产管理、规则优化等基础运营服务，威胁分析、事件管理等威胁分析检测服务，威胁预警服务，协助处置、应急响应、安全评估等主动响应服务，技术支持、阶段性工作汇报等安全顾问服务。</w:t>
      </w:r>
    </w:p>
    <w:p w14:paraId="3B4B4664">
      <w:pPr>
        <w:tabs>
          <w:tab w:val="left" w:pos="510"/>
          <w:tab w:val="left" w:pos="540"/>
          <w:tab w:val="left" w:pos="993"/>
          <w:tab w:val="left" w:pos="1134"/>
        </w:tabs>
        <w:adjustRightInd w:val="0"/>
        <w:spacing w:line="360" w:lineRule="auto"/>
        <w:ind w:left="420" w:leftChars="200"/>
        <w:rPr>
          <w:rFonts w:ascii="宋体" w:hAnsi="宋体"/>
          <w:b/>
        </w:rPr>
      </w:pPr>
      <w:bookmarkStart w:id="52" w:name="_Toc82115361"/>
      <w:bookmarkStart w:id="53" w:name="_Toc85736401"/>
      <w:r>
        <w:rPr>
          <w:rFonts w:hint="eastAsia" w:ascii="宋体" w:hAnsi="宋体"/>
          <w:b/>
        </w:rPr>
        <w:t>2.3.2项目结项总结</w:t>
      </w:r>
      <w:bookmarkEnd w:id="52"/>
      <w:bookmarkEnd w:id="53"/>
    </w:p>
    <w:p w14:paraId="5609973E">
      <w:pPr>
        <w:tabs>
          <w:tab w:val="left" w:pos="510"/>
          <w:tab w:val="left" w:pos="540"/>
        </w:tabs>
        <w:adjustRightInd w:val="0"/>
        <w:spacing w:line="360" w:lineRule="auto"/>
        <w:ind w:firstLine="420" w:firstLineChars="200"/>
      </w:pPr>
      <w:r>
        <w:rPr>
          <w:rFonts w:hint="eastAsia"/>
        </w:rPr>
        <w:t>在安全运营服务项目归档总结阶段，安全运营服务团队将整理项目全部交付物后交付采购人归档，梳理关键成果指标，进行项目总结汇报并针对性提出后续安全工作建议。</w:t>
      </w:r>
    </w:p>
    <w:p w14:paraId="6D431B13">
      <w:pPr>
        <w:tabs>
          <w:tab w:val="left" w:pos="510"/>
          <w:tab w:val="left" w:pos="540"/>
          <w:tab w:val="left" w:pos="993"/>
          <w:tab w:val="left" w:pos="1134"/>
        </w:tabs>
        <w:adjustRightInd w:val="0"/>
        <w:spacing w:line="360" w:lineRule="auto"/>
        <w:ind w:left="420" w:leftChars="200"/>
        <w:rPr>
          <w:rFonts w:ascii="宋体" w:hAnsi="宋体"/>
          <w:b/>
        </w:rPr>
      </w:pPr>
      <w:bookmarkStart w:id="54" w:name="_Toc29335"/>
      <w:bookmarkStart w:id="55" w:name="_Toc82115362"/>
      <w:bookmarkStart w:id="56" w:name="_Toc15601"/>
      <w:bookmarkStart w:id="57" w:name="_Toc85736402"/>
      <w:bookmarkStart w:id="58" w:name="_Toc14038"/>
      <w:bookmarkStart w:id="59" w:name="_Toc6394"/>
      <w:r>
        <w:rPr>
          <w:rFonts w:hint="eastAsia" w:ascii="宋体" w:hAnsi="宋体"/>
          <w:b/>
        </w:rPr>
        <w:t>2.3.3服务交付物</w:t>
      </w:r>
      <w:bookmarkEnd w:id="54"/>
      <w:bookmarkEnd w:id="55"/>
      <w:bookmarkEnd w:id="56"/>
      <w:bookmarkEnd w:id="57"/>
      <w:bookmarkEnd w:id="58"/>
      <w:bookmarkEnd w:id="59"/>
    </w:p>
    <w:p w14:paraId="77AB0D2B">
      <w:pPr>
        <w:tabs>
          <w:tab w:val="left" w:pos="510"/>
          <w:tab w:val="left" w:pos="540"/>
        </w:tabs>
        <w:adjustRightInd w:val="0"/>
        <w:spacing w:line="360" w:lineRule="auto"/>
        <w:ind w:firstLine="420" w:firstLineChars="200"/>
      </w:pPr>
      <w:r>
        <w:rPr>
          <w:rFonts w:hint="eastAsia"/>
        </w:rPr>
        <w:t>实现安全运营托管服务需要专业化服务工具，其中包括</w:t>
      </w:r>
    </w:p>
    <w:p w14:paraId="1872EDAE">
      <w:pPr>
        <w:tabs>
          <w:tab w:val="left" w:pos="510"/>
          <w:tab w:val="left" w:pos="540"/>
        </w:tabs>
        <w:adjustRightInd w:val="0"/>
        <w:spacing w:line="360" w:lineRule="auto"/>
        <w:ind w:firstLine="420" w:firstLineChars="200"/>
        <w:jc w:val="left"/>
        <w:rPr>
          <w:rFonts w:hint="eastAsia"/>
        </w:rPr>
      </w:pPr>
      <w:r>
        <w:rPr>
          <w:rFonts w:hint="eastAsia"/>
        </w:rPr>
        <w:t>（1）威胁探针3套：其中江湾数据中心出口一套1G/S、仙溪数据中心出口一套1G/S、全校边界出口一套7G/S。</w:t>
      </w:r>
    </w:p>
    <w:p w14:paraId="3CCBEDFE">
      <w:pPr>
        <w:tabs>
          <w:tab w:val="left" w:pos="510"/>
          <w:tab w:val="left" w:pos="540"/>
        </w:tabs>
        <w:adjustRightInd w:val="0"/>
        <w:spacing w:line="360" w:lineRule="auto"/>
        <w:ind w:firstLine="420" w:firstLineChars="200"/>
        <w:jc w:val="left"/>
      </w:pPr>
      <w:r>
        <w:rPr>
          <w:rFonts w:hint="eastAsia"/>
        </w:rPr>
        <w:t>（2）3套DB服务器组成分布式硬件平台</w:t>
      </w:r>
    </w:p>
    <w:p w14:paraId="12547065">
      <w:pPr>
        <w:tabs>
          <w:tab w:val="left" w:pos="510"/>
          <w:tab w:val="left" w:pos="540"/>
        </w:tabs>
        <w:adjustRightInd w:val="0"/>
        <w:spacing w:line="360" w:lineRule="auto"/>
        <w:ind w:firstLine="420" w:firstLineChars="200"/>
        <w:jc w:val="left"/>
      </w:pPr>
      <w:r>
        <w:rPr>
          <w:rFonts w:hint="eastAsia"/>
        </w:rPr>
        <w:t>（3）分析展示软件平台1套。</w:t>
      </w:r>
    </w:p>
    <w:p w14:paraId="397CDD3E">
      <w:pPr>
        <w:tabs>
          <w:tab w:val="left" w:pos="510"/>
          <w:tab w:val="left" w:pos="540"/>
        </w:tabs>
        <w:adjustRightInd w:val="0"/>
        <w:spacing w:line="360" w:lineRule="auto"/>
        <w:ind w:firstLine="420" w:firstLineChars="200"/>
        <w:jc w:val="left"/>
        <w:rPr>
          <w:rFonts w:hint="eastAsia"/>
        </w:rPr>
      </w:pPr>
      <w:r>
        <w:rPr>
          <w:rFonts w:hint="eastAsia"/>
        </w:rPr>
        <w:t>（4）7*24的365天MSS服务一项</w:t>
      </w:r>
    </w:p>
    <w:p w14:paraId="3D9D2699">
      <w:pPr>
        <w:tabs>
          <w:tab w:val="left" w:pos="510"/>
          <w:tab w:val="left" w:pos="540"/>
        </w:tabs>
        <w:adjustRightInd w:val="0"/>
        <w:spacing w:line="360" w:lineRule="auto"/>
        <w:ind w:firstLine="630" w:firstLineChars="300"/>
      </w:pPr>
      <w:bookmarkStart w:id="60" w:name="_Toc3664"/>
      <w:r>
        <w:t>1</w:t>
      </w:r>
      <w:r>
        <w:rPr>
          <w:rFonts w:hint="eastAsia"/>
        </w:rPr>
        <w:t>）威胁探针</w:t>
      </w:r>
      <w:bookmarkEnd w:id="60"/>
    </w:p>
    <w:p w14:paraId="6B6E70AB">
      <w:pPr>
        <w:tabs>
          <w:tab w:val="left" w:pos="510"/>
          <w:tab w:val="left" w:pos="540"/>
        </w:tabs>
        <w:adjustRightInd w:val="0"/>
        <w:spacing w:line="360" w:lineRule="auto"/>
        <w:ind w:firstLine="420" w:firstLineChars="200"/>
      </w:pPr>
      <w:r>
        <w:rPr>
          <w:rFonts w:hint="eastAsia"/>
        </w:rPr>
        <w:t>威胁探针负责对佛山大学全网的流量进行采集与处理。可对数十种网络协议的识别、解析和检测。检测手段丰富多样，可从多个维度综合识别评估网络威胁。为安全分析人员提供基础的告警信息和能力支撑。</w:t>
      </w:r>
    </w:p>
    <w:p w14:paraId="42B4604C">
      <w:pPr>
        <w:tabs>
          <w:tab w:val="left" w:pos="510"/>
          <w:tab w:val="left" w:pos="540"/>
        </w:tabs>
        <w:adjustRightInd w:val="0"/>
        <w:spacing w:line="360" w:lineRule="auto"/>
        <w:ind w:firstLine="420" w:firstLineChars="200"/>
      </w:pPr>
      <w:r>
        <w:rPr>
          <w:rFonts w:hint="eastAsia"/>
        </w:rPr>
        <w:t>网络数据和7层应用协议识别和还原：MPLS、PPPOE、QinQ、TCP流量日志、UDP流量日志、LDAP行为日志、SSL协商日志、SSL解密、域名解析日志、登录行为日志、邮件行为日志、FTP访问日志、文件传输日志、Web访问日志、Telnet行为日志、数据库操作日志、智能应用、PCAP文件回放检测等。</w:t>
      </w:r>
    </w:p>
    <w:p w14:paraId="4B9C4CBB">
      <w:pPr>
        <w:tabs>
          <w:tab w:val="left" w:pos="510"/>
          <w:tab w:val="left" w:pos="540"/>
        </w:tabs>
        <w:adjustRightInd w:val="0"/>
        <w:spacing w:line="360" w:lineRule="auto"/>
        <w:ind w:firstLine="420" w:firstLineChars="200"/>
      </w:pPr>
      <w:r>
        <w:rPr>
          <w:rFonts w:hint="eastAsia"/>
        </w:rPr>
        <w:t>识别网络威胁数据：失陷检测、入侵检测、病毒检测、异常流量、DDoS攻击、应用识别等。</w:t>
      </w:r>
    </w:p>
    <w:p w14:paraId="26695092">
      <w:pPr>
        <w:tabs>
          <w:tab w:val="left" w:pos="510"/>
          <w:tab w:val="left" w:pos="540"/>
        </w:tabs>
        <w:adjustRightInd w:val="0"/>
        <w:spacing w:line="360" w:lineRule="auto"/>
        <w:ind w:firstLine="420" w:firstLineChars="200"/>
      </w:pPr>
      <w:r>
        <w:rPr>
          <w:rFonts w:hint="eastAsia"/>
        </w:rPr>
        <w:t>威胁探针采用旁路镜像模式接入到佛山大学网络中，进行流量采集解析、存储、文件还原和威胁检测。</w:t>
      </w:r>
    </w:p>
    <w:p w14:paraId="752DC33B">
      <w:pPr>
        <w:tabs>
          <w:tab w:val="left" w:pos="510"/>
          <w:tab w:val="left" w:pos="540"/>
        </w:tabs>
        <w:adjustRightInd w:val="0"/>
        <w:spacing w:line="360" w:lineRule="auto"/>
        <w:ind w:firstLine="420" w:firstLineChars="200"/>
      </w:pPr>
      <w:r>
        <w:rPr>
          <w:rFonts w:hint="eastAsia"/>
        </w:rPr>
        <w:t>此外威胁探针还能与大数据分析平台进行联动，将检测结果以及元数据汇总到大数据分析平台进行综合分析、研判和展示。</w:t>
      </w:r>
      <w:bookmarkStart w:id="61" w:name="_Toc40715436"/>
    </w:p>
    <w:p w14:paraId="5DA465E0">
      <w:pPr>
        <w:tabs>
          <w:tab w:val="left" w:pos="510"/>
          <w:tab w:val="left" w:pos="540"/>
        </w:tabs>
        <w:adjustRightInd w:val="0"/>
        <w:spacing w:line="360" w:lineRule="auto"/>
        <w:ind w:firstLine="420" w:firstLineChars="200"/>
      </w:pPr>
      <w:r>
        <w:rPr>
          <w:rFonts w:hint="eastAsia"/>
        </w:rPr>
        <w:t>主要是采取镜像网络入口上下行数据，输入到实体机器做相关数据处理分析。</w:t>
      </w:r>
    </w:p>
    <w:bookmarkEnd w:id="61"/>
    <w:p w14:paraId="4886238B">
      <w:pPr>
        <w:tabs>
          <w:tab w:val="left" w:pos="510"/>
          <w:tab w:val="left" w:pos="540"/>
        </w:tabs>
        <w:adjustRightInd w:val="0"/>
        <w:spacing w:line="360" w:lineRule="auto"/>
        <w:ind w:firstLine="630" w:firstLineChars="300"/>
      </w:pPr>
      <w:bookmarkStart w:id="62" w:name="_Toc24096"/>
      <w:r>
        <w:rPr>
          <w:rFonts w:hint="eastAsia"/>
        </w:rPr>
        <w:t>2）安全运营平台</w:t>
      </w:r>
      <w:bookmarkEnd w:id="62"/>
      <w:r>
        <w:rPr>
          <w:rFonts w:hint="eastAsia"/>
        </w:rPr>
        <w:t>（硬件和软件）</w:t>
      </w:r>
    </w:p>
    <w:p w14:paraId="5805D3CD">
      <w:pPr>
        <w:tabs>
          <w:tab w:val="left" w:pos="510"/>
          <w:tab w:val="left" w:pos="540"/>
        </w:tabs>
        <w:adjustRightInd w:val="0"/>
        <w:spacing w:line="360" w:lineRule="auto"/>
        <w:ind w:firstLine="420" w:firstLineChars="200"/>
      </w:pPr>
      <w:r>
        <w:rPr>
          <w:rFonts w:hint="eastAsia"/>
        </w:rPr>
        <w:t>安全运营中心以资产为核心，安全运营为出发点，覆盖威胁、脆弱性、资产及异常行为等多种安全分析能力，并能够实现针对数据的采集、分析、检测、研判、处置的闭环管理能力。</w:t>
      </w:r>
    </w:p>
    <w:p w14:paraId="153190BC">
      <w:pPr>
        <w:tabs>
          <w:tab w:val="left" w:pos="510"/>
          <w:tab w:val="left" w:pos="540"/>
        </w:tabs>
        <w:adjustRightInd w:val="0"/>
        <w:spacing w:line="360" w:lineRule="auto"/>
        <w:ind w:firstLine="420" w:firstLineChars="200"/>
      </w:pPr>
      <w:r>
        <w:rPr>
          <w:rFonts w:hint="eastAsia"/>
        </w:rPr>
        <w:t>安全运营中心是为佛山大学提供一套系统化，标准化，持续化的安全风险管理流程可视化工具。通过平台可以看到安全事件处置的流程，进度以及专属二线安全运营专家信息。</w:t>
      </w:r>
    </w:p>
    <w:p w14:paraId="6B660957">
      <w:pPr>
        <w:tabs>
          <w:tab w:val="left" w:pos="510"/>
          <w:tab w:val="left" w:pos="540"/>
        </w:tabs>
        <w:adjustRightInd w:val="0"/>
        <w:spacing w:line="360" w:lineRule="auto"/>
        <w:ind w:firstLine="420" w:firstLineChars="200"/>
      </w:pPr>
      <w:r>
        <w:rPr>
          <w:rFonts w:hint="eastAsia"/>
        </w:rPr>
        <w:t>以大数据框架为基础，结合威胁情报系统，通过对攻防场景的机器学习、威胁建模、场景关联分析、异常行为分析以及安全编排自动化、可视化呈现等技术，帮助佛山大学建立和完善安全态势全面监控、安全威胁实时预警、资产及漏洞全生命周期管理、安全事故紧急响应能力。</w:t>
      </w:r>
    </w:p>
    <w:p w14:paraId="4A0A1FE3">
      <w:pPr>
        <w:tabs>
          <w:tab w:val="left" w:pos="510"/>
          <w:tab w:val="left" w:pos="540"/>
        </w:tabs>
        <w:adjustRightInd w:val="0"/>
        <w:spacing w:line="360" w:lineRule="auto"/>
        <w:ind w:firstLine="420" w:firstLineChars="200"/>
      </w:pPr>
      <w:r>
        <w:rPr>
          <w:rFonts w:hint="eastAsia"/>
        </w:rPr>
        <w:t xml:space="preserve">  3）7*24的365天MSS服务</w:t>
      </w:r>
    </w:p>
    <w:p w14:paraId="29394A0A">
      <w:pPr>
        <w:tabs>
          <w:tab w:val="left" w:pos="510"/>
          <w:tab w:val="left" w:pos="540"/>
        </w:tabs>
        <w:adjustRightInd w:val="0"/>
        <w:spacing w:line="360" w:lineRule="auto"/>
        <w:ind w:firstLine="420" w:firstLineChars="200"/>
        <w:rPr>
          <w:szCs w:val="21"/>
        </w:rPr>
      </w:pPr>
      <w:r>
        <w:rPr>
          <w:rFonts w:hint="eastAsia"/>
          <w:szCs w:val="21"/>
        </w:rPr>
        <w:t>分配安全运营托管平台唯一的服务号，保障佛山大学获得专业化的安全服务，同时通过此服务号对整个安全服务过程进行监督，包括具体的技术支持过程和事件升级流程。7*24小时的重点服务器业务不少于100台</w:t>
      </w:r>
    </w:p>
    <w:p w14:paraId="439B8849">
      <w:pPr>
        <w:tabs>
          <w:tab w:val="left" w:pos="510"/>
          <w:tab w:val="left" w:pos="540"/>
        </w:tabs>
        <w:adjustRightInd w:val="0"/>
        <w:spacing w:line="360" w:lineRule="auto"/>
        <w:ind w:firstLine="420" w:firstLineChars="200"/>
      </w:pPr>
      <w:r>
        <w:rPr>
          <w:rFonts w:hint="eastAsia"/>
        </w:rPr>
        <w:t>服务交付报告包括不限于如下：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3"/>
        <w:gridCol w:w="5239"/>
      </w:tblGrid>
      <w:tr w14:paraId="5279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85" w:type="dxa"/>
            <w:noWrap w:val="0"/>
            <w:vAlign w:val="center"/>
          </w:tcPr>
          <w:p w14:paraId="47681334">
            <w:pPr>
              <w:spacing w:line="360" w:lineRule="auto"/>
              <w:jc w:val="center"/>
              <w:rPr>
                <w:rFonts w:ascii="宋体" w:hAnsi="宋体" w:cs="仿宋_GB2312"/>
                <w:kern w:val="0"/>
              </w:rPr>
            </w:pPr>
            <w:r>
              <w:rPr>
                <w:rFonts w:hint="eastAsia" w:ascii="宋体" w:hAnsi="宋体" w:cs="仿宋_GB2312"/>
                <w:kern w:val="0"/>
              </w:rPr>
              <w:t>服务阶段</w:t>
            </w:r>
          </w:p>
        </w:tc>
        <w:tc>
          <w:tcPr>
            <w:tcW w:w="5242" w:type="dxa"/>
            <w:noWrap w:val="0"/>
            <w:vAlign w:val="center"/>
          </w:tcPr>
          <w:p w14:paraId="3B3A4A3F">
            <w:pPr>
              <w:spacing w:line="360" w:lineRule="auto"/>
              <w:jc w:val="center"/>
              <w:rPr>
                <w:rFonts w:ascii="宋体" w:hAnsi="宋体" w:cs="仿宋_GB2312"/>
                <w:kern w:val="0"/>
              </w:rPr>
            </w:pPr>
            <w:r>
              <w:rPr>
                <w:rFonts w:hint="eastAsia" w:ascii="宋体" w:hAnsi="宋体" w:cs="仿宋_GB2312"/>
                <w:kern w:val="0"/>
              </w:rPr>
              <w:t>交付成果</w:t>
            </w:r>
          </w:p>
        </w:tc>
      </w:tr>
      <w:tr w14:paraId="684B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285" w:type="dxa"/>
            <w:noWrap w:val="0"/>
            <w:vAlign w:val="center"/>
          </w:tcPr>
          <w:p w14:paraId="57C0E1BE">
            <w:pPr>
              <w:spacing w:line="360" w:lineRule="auto"/>
              <w:jc w:val="center"/>
              <w:rPr>
                <w:rFonts w:ascii="宋体" w:hAnsi="宋体" w:cs="仿宋_GB2312"/>
                <w:kern w:val="0"/>
              </w:rPr>
            </w:pPr>
            <w:r>
              <w:rPr>
                <w:rFonts w:hint="eastAsia" w:ascii="宋体" w:hAnsi="宋体" w:cs="仿宋_GB2312"/>
                <w:kern w:val="0"/>
              </w:rPr>
              <w:t>常态化运营阶段</w:t>
            </w:r>
          </w:p>
        </w:tc>
        <w:tc>
          <w:tcPr>
            <w:tcW w:w="5242" w:type="dxa"/>
            <w:noWrap w:val="0"/>
            <w:vAlign w:val="center"/>
          </w:tcPr>
          <w:p w14:paraId="0B52A11F">
            <w:pPr>
              <w:spacing w:line="360" w:lineRule="auto"/>
              <w:jc w:val="center"/>
              <w:rPr>
                <w:rFonts w:ascii="宋体" w:hAnsi="宋体" w:cs="仿宋_GB2312"/>
                <w:kern w:val="0"/>
              </w:rPr>
            </w:pPr>
            <w:r>
              <w:rPr>
                <w:rFonts w:hint="eastAsia" w:ascii="宋体" w:hAnsi="宋体" w:cs="仿宋_GB2312"/>
                <w:kern w:val="0"/>
              </w:rPr>
              <w:t>《安全运营-漏洞修复指导》</w:t>
            </w:r>
          </w:p>
        </w:tc>
      </w:tr>
      <w:tr w14:paraId="7F6E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5" w:type="dxa"/>
            <w:noWrap w:val="0"/>
            <w:vAlign w:val="center"/>
          </w:tcPr>
          <w:p w14:paraId="1BE2578C">
            <w:pPr>
              <w:spacing w:line="360" w:lineRule="auto"/>
              <w:jc w:val="center"/>
              <w:rPr>
                <w:rFonts w:ascii="宋体" w:hAnsi="宋体" w:cs="仿宋_GB2312"/>
                <w:kern w:val="0"/>
              </w:rPr>
            </w:pPr>
            <w:r>
              <w:rPr>
                <w:rFonts w:hint="eastAsia" w:ascii="宋体" w:hAnsi="宋体" w:cs="仿宋_GB2312"/>
                <w:kern w:val="0"/>
              </w:rPr>
              <w:t>服务结项阶段</w:t>
            </w:r>
          </w:p>
        </w:tc>
        <w:tc>
          <w:tcPr>
            <w:tcW w:w="5242" w:type="dxa"/>
            <w:noWrap w:val="0"/>
            <w:vAlign w:val="center"/>
          </w:tcPr>
          <w:p w14:paraId="34DC4675">
            <w:pPr>
              <w:spacing w:line="360" w:lineRule="auto"/>
              <w:jc w:val="center"/>
              <w:rPr>
                <w:rFonts w:ascii="宋体" w:hAnsi="宋体" w:cs="仿宋_GB2312"/>
                <w:kern w:val="0"/>
              </w:rPr>
            </w:pPr>
            <w:r>
              <w:rPr>
                <w:rFonts w:hint="eastAsia" w:ascii="宋体" w:hAnsi="宋体" w:cs="仿宋_GB2312"/>
                <w:kern w:val="0"/>
              </w:rPr>
              <w:t>《安全运营-客户项目验收报告》</w:t>
            </w:r>
          </w:p>
        </w:tc>
      </w:tr>
    </w:tbl>
    <w:p w14:paraId="78F79C9B">
      <w:pPr>
        <w:rPr>
          <w:rFonts w:hint="eastAsia" w:ascii="宋体" w:hAnsi="宋体"/>
          <w:b/>
          <w:bCs/>
          <w:szCs w:val="21"/>
        </w:rPr>
      </w:pPr>
    </w:p>
    <w:p w14:paraId="037F1AD7">
      <w:pPr>
        <w:tabs>
          <w:tab w:val="left" w:pos="510"/>
          <w:tab w:val="left" w:pos="540"/>
        </w:tabs>
        <w:adjustRightInd w:val="0"/>
        <w:spacing w:line="360" w:lineRule="auto"/>
        <w:ind w:left="426" w:leftChars="203"/>
        <w:rPr>
          <w:rFonts w:hint="eastAsia" w:ascii="宋体" w:hAnsi="宋体"/>
          <w:b/>
          <w:szCs w:val="21"/>
        </w:rPr>
      </w:pPr>
      <w:r>
        <w:rPr>
          <w:rFonts w:hint="eastAsia" w:ascii="宋体" w:hAnsi="宋体"/>
          <w:b/>
          <w:szCs w:val="21"/>
        </w:rPr>
        <w:t>2.3.重保值守服务</w:t>
      </w:r>
    </w:p>
    <w:p w14:paraId="6425271D">
      <w:pPr>
        <w:tabs>
          <w:tab w:val="left" w:pos="510"/>
          <w:tab w:val="left" w:pos="540"/>
        </w:tabs>
        <w:adjustRightInd w:val="0"/>
        <w:spacing w:line="360" w:lineRule="auto"/>
        <w:ind w:left="426" w:leftChars="203"/>
        <w:rPr>
          <w:rFonts w:hint="eastAsia" w:ascii="宋体" w:hAnsi="宋体" w:cs="仿宋_GB2312"/>
          <w:b/>
          <w:szCs w:val="21"/>
        </w:rPr>
      </w:pPr>
      <w:bookmarkStart w:id="63" w:name="_Toc15482"/>
      <w:bookmarkStart w:id="64" w:name="_Toc121"/>
      <w:bookmarkStart w:id="65" w:name="_Toc30646"/>
      <w:bookmarkStart w:id="66" w:name="_Toc18147"/>
      <w:bookmarkStart w:id="67" w:name="_Toc31439"/>
      <w:r>
        <w:rPr>
          <w:rFonts w:hint="eastAsia" w:ascii="宋体" w:hAnsi="宋体" w:cs="仿宋_GB2312"/>
          <w:b/>
          <w:szCs w:val="21"/>
        </w:rPr>
        <w:t>2.3.1.服务定义与目标</w:t>
      </w:r>
      <w:bookmarkEnd w:id="63"/>
      <w:bookmarkEnd w:id="64"/>
      <w:bookmarkEnd w:id="65"/>
      <w:bookmarkEnd w:id="66"/>
      <w:bookmarkEnd w:id="67"/>
    </w:p>
    <w:p w14:paraId="3566E052">
      <w:pPr>
        <w:tabs>
          <w:tab w:val="left" w:pos="510"/>
          <w:tab w:val="left" w:pos="540"/>
        </w:tabs>
        <w:adjustRightInd w:val="0"/>
        <w:spacing w:line="360" w:lineRule="auto"/>
        <w:ind w:firstLine="420" w:firstLineChars="200"/>
        <w:rPr>
          <w:rFonts w:hint="eastAsia"/>
        </w:rPr>
      </w:pPr>
      <w:r>
        <w:rPr>
          <w:rFonts w:hint="eastAsia"/>
          <w:szCs w:val="21"/>
        </w:rPr>
        <w:t>在重要时期如：两会，国庆等敏感阶段，安排值守人员（驻场服务工程师）7天×24小时对网络设备，安全设备，主机资产，应用</w:t>
      </w:r>
      <w:r>
        <w:rPr>
          <w:rFonts w:hint="eastAsia"/>
        </w:rPr>
        <w:t>系统等日志进行监控。遇到突发事件第一时间启动安全预案，进行安全响应。</w:t>
      </w:r>
    </w:p>
    <w:p w14:paraId="2F1D8782">
      <w:pPr>
        <w:tabs>
          <w:tab w:val="left" w:pos="510"/>
          <w:tab w:val="left" w:pos="540"/>
        </w:tabs>
        <w:adjustRightInd w:val="0"/>
        <w:spacing w:line="360" w:lineRule="auto"/>
        <w:ind w:left="426" w:leftChars="203"/>
        <w:rPr>
          <w:rFonts w:hint="eastAsia" w:ascii="宋体" w:hAnsi="宋体" w:cs="仿宋_GB2312"/>
          <w:b/>
          <w:szCs w:val="21"/>
        </w:rPr>
      </w:pPr>
      <w:bookmarkStart w:id="68" w:name="_Toc5335"/>
      <w:bookmarkStart w:id="69" w:name="_Toc23555"/>
      <w:bookmarkStart w:id="70" w:name="_Toc7276"/>
      <w:bookmarkStart w:id="71" w:name="_Toc18164"/>
      <w:bookmarkStart w:id="72" w:name="_Toc239"/>
      <w:r>
        <w:rPr>
          <w:rFonts w:hint="eastAsia" w:ascii="宋体" w:hAnsi="宋体" w:cs="仿宋_GB2312"/>
          <w:b/>
          <w:szCs w:val="21"/>
        </w:rPr>
        <w:t>2.3.2.服务内容</w:t>
      </w:r>
      <w:bookmarkEnd w:id="68"/>
      <w:bookmarkEnd w:id="69"/>
      <w:bookmarkEnd w:id="70"/>
      <w:bookmarkEnd w:id="71"/>
      <w:bookmarkEnd w:id="72"/>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6949"/>
      </w:tblGrid>
      <w:tr w14:paraId="7676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56" w:type="dxa"/>
            <w:noWrap w:val="0"/>
            <w:vAlign w:val="center"/>
          </w:tcPr>
          <w:p w14:paraId="7D9FF32F">
            <w:pPr>
              <w:spacing w:line="360" w:lineRule="auto"/>
              <w:jc w:val="center"/>
              <w:rPr>
                <w:rFonts w:ascii="宋体" w:hAnsi="宋体" w:cs="仿宋_GB2312"/>
                <w:kern w:val="0"/>
              </w:rPr>
            </w:pPr>
            <w:r>
              <w:rPr>
                <w:rFonts w:hint="eastAsia" w:ascii="宋体" w:hAnsi="宋体" w:cs="仿宋_GB2312"/>
                <w:kern w:val="0"/>
              </w:rPr>
              <w:t>服务内容</w:t>
            </w:r>
          </w:p>
        </w:tc>
        <w:tc>
          <w:tcPr>
            <w:tcW w:w="7758" w:type="dxa"/>
            <w:noWrap w:val="0"/>
            <w:vAlign w:val="center"/>
          </w:tcPr>
          <w:p w14:paraId="74E66CFF">
            <w:pPr>
              <w:spacing w:line="360" w:lineRule="auto"/>
              <w:jc w:val="center"/>
              <w:rPr>
                <w:rFonts w:ascii="宋体" w:hAnsi="宋体" w:cs="仿宋_GB2312"/>
                <w:kern w:val="0"/>
              </w:rPr>
            </w:pPr>
            <w:r>
              <w:rPr>
                <w:rFonts w:hint="eastAsia" w:ascii="宋体" w:hAnsi="宋体" w:cs="仿宋_GB2312"/>
                <w:kern w:val="0"/>
              </w:rPr>
              <w:t>详细描述</w:t>
            </w:r>
          </w:p>
        </w:tc>
      </w:tr>
      <w:tr w14:paraId="5195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56" w:type="dxa"/>
            <w:noWrap w:val="0"/>
            <w:vAlign w:val="center"/>
          </w:tcPr>
          <w:p w14:paraId="5B0BFBD5">
            <w:pPr>
              <w:spacing w:line="360" w:lineRule="auto"/>
              <w:jc w:val="center"/>
              <w:rPr>
                <w:rFonts w:ascii="宋体" w:hAnsi="宋体" w:cs="仿宋_GB2312"/>
                <w:b/>
                <w:bCs/>
                <w:kern w:val="0"/>
                <w:lang w:val="zh-CN"/>
              </w:rPr>
            </w:pPr>
            <w:r>
              <w:rPr>
                <w:rFonts w:hint="eastAsia" w:ascii="宋体" w:hAnsi="宋体" w:cs="仿宋_GB2312"/>
                <w:kern w:val="0"/>
                <w:lang w:val="zh-CN"/>
              </w:rPr>
              <w:t>安全威胁分析</w:t>
            </w:r>
          </w:p>
        </w:tc>
        <w:tc>
          <w:tcPr>
            <w:tcW w:w="7758" w:type="dxa"/>
            <w:noWrap w:val="0"/>
            <w:vAlign w:val="center"/>
          </w:tcPr>
          <w:p w14:paraId="77A28FEE">
            <w:pPr>
              <w:spacing w:line="360" w:lineRule="auto"/>
              <w:rPr>
                <w:rFonts w:ascii="宋体" w:hAnsi="宋体" w:cs="仿宋_GB2312"/>
                <w:b/>
                <w:bCs/>
                <w:kern w:val="0"/>
                <w:lang w:val="zh-CN"/>
              </w:rPr>
            </w:pPr>
            <w:r>
              <w:rPr>
                <w:rFonts w:hint="eastAsia" w:ascii="宋体" w:hAnsi="宋体" w:cs="仿宋_GB2312"/>
                <w:kern w:val="0"/>
                <w:lang w:val="zh-CN"/>
              </w:rPr>
              <w:t>综合安全检测类产品采集存储的安全日志，结合外部威胁情报，进行深度分析举证，分析网络中可疑的安全威胁，确定攻击入侵行为，并分析其影响和危害性。</w:t>
            </w:r>
          </w:p>
        </w:tc>
      </w:tr>
      <w:tr w14:paraId="0A1C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56" w:type="dxa"/>
            <w:noWrap w:val="0"/>
            <w:vAlign w:val="center"/>
          </w:tcPr>
          <w:p w14:paraId="232370D9">
            <w:pPr>
              <w:spacing w:line="360" w:lineRule="auto"/>
              <w:jc w:val="center"/>
              <w:rPr>
                <w:rFonts w:ascii="宋体" w:hAnsi="宋体" w:cs="仿宋_GB2312"/>
                <w:b/>
                <w:bCs/>
                <w:kern w:val="0"/>
                <w:lang w:val="zh-CN"/>
              </w:rPr>
            </w:pPr>
            <w:r>
              <w:rPr>
                <w:rFonts w:hint="eastAsia" w:ascii="宋体" w:hAnsi="宋体" w:cs="仿宋_GB2312"/>
                <w:kern w:val="0"/>
                <w:lang w:val="zh-CN"/>
              </w:rPr>
              <w:t>安全事件处置</w:t>
            </w:r>
          </w:p>
        </w:tc>
        <w:tc>
          <w:tcPr>
            <w:tcW w:w="7758" w:type="dxa"/>
            <w:noWrap w:val="0"/>
            <w:vAlign w:val="center"/>
          </w:tcPr>
          <w:p w14:paraId="4687A9FD">
            <w:pPr>
              <w:spacing w:line="360" w:lineRule="auto"/>
              <w:rPr>
                <w:rFonts w:ascii="宋体" w:hAnsi="宋体" w:cs="仿宋_GB2312"/>
                <w:kern w:val="0"/>
                <w:lang w:val="zh-CN"/>
              </w:rPr>
            </w:pPr>
            <w:r>
              <w:rPr>
                <w:rFonts w:hint="eastAsia" w:ascii="宋体" w:hAnsi="宋体" w:cs="仿宋_GB2312"/>
                <w:kern w:val="0"/>
                <w:lang w:val="zh-CN"/>
              </w:rPr>
              <w:t>根据问题现象，对发现的异常事件协助处置清除恶意文件，快速业务恢复</w:t>
            </w:r>
          </w:p>
        </w:tc>
      </w:tr>
      <w:tr w14:paraId="1209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56" w:type="dxa"/>
            <w:noWrap w:val="0"/>
            <w:vAlign w:val="center"/>
          </w:tcPr>
          <w:p w14:paraId="54770B7B">
            <w:pPr>
              <w:spacing w:line="360" w:lineRule="auto"/>
              <w:jc w:val="center"/>
              <w:rPr>
                <w:rFonts w:ascii="宋体" w:hAnsi="宋体" w:cs="仿宋_GB2312"/>
                <w:b/>
                <w:bCs/>
                <w:kern w:val="0"/>
                <w:lang w:val="zh-CN"/>
              </w:rPr>
            </w:pPr>
            <w:r>
              <w:rPr>
                <w:rFonts w:hint="eastAsia" w:ascii="宋体" w:hAnsi="宋体" w:cs="仿宋_GB2312"/>
                <w:kern w:val="0"/>
                <w:lang w:val="zh-CN"/>
              </w:rPr>
              <w:t>事件溯源分析</w:t>
            </w:r>
          </w:p>
        </w:tc>
        <w:tc>
          <w:tcPr>
            <w:tcW w:w="7758" w:type="dxa"/>
            <w:noWrap w:val="0"/>
            <w:vAlign w:val="center"/>
          </w:tcPr>
          <w:p w14:paraId="55167CD0">
            <w:pPr>
              <w:spacing w:line="360" w:lineRule="auto"/>
              <w:rPr>
                <w:rFonts w:ascii="宋体" w:hAnsi="宋体" w:cs="仿宋_GB2312"/>
                <w:kern w:val="0"/>
                <w:lang w:val="zh-CN"/>
              </w:rPr>
            </w:pPr>
            <w:r>
              <w:rPr>
                <w:rFonts w:hint="eastAsia" w:ascii="宋体" w:hAnsi="宋体" w:cs="仿宋_GB2312"/>
                <w:kern w:val="0"/>
                <w:lang w:val="zh-CN"/>
              </w:rPr>
              <w:t>深入调查，分析事件形成的原因，找出信息系统中存在的薄弱点形成攻击路径；</w:t>
            </w:r>
          </w:p>
        </w:tc>
      </w:tr>
      <w:tr w14:paraId="1FBA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56" w:type="dxa"/>
            <w:noWrap w:val="0"/>
            <w:vAlign w:val="center"/>
          </w:tcPr>
          <w:p w14:paraId="5B8FB077">
            <w:pPr>
              <w:spacing w:line="360" w:lineRule="auto"/>
              <w:jc w:val="center"/>
              <w:rPr>
                <w:rFonts w:ascii="宋体" w:hAnsi="宋体" w:cs="仿宋_GB2312"/>
                <w:kern w:val="0"/>
                <w:lang w:val="zh-CN"/>
              </w:rPr>
            </w:pPr>
            <w:r>
              <w:rPr>
                <w:rFonts w:hint="eastAsia" w:ascii="宋体" w:hAnsi="宋体" w:cs="仿宋_GB2312"/>
                <w:kern w:val="0"/>
                <w:lang w:val="zh-CN"/>
              </w:rPr>
              <w:t>网络攻击告警</w:t>
            </w:r>
          </w:p>
        </w:tc>
        <w:tc>
          <w:tcPr>
            <w:tcW w:w="7758" w:type="dxa"/>
            <w:noWrap w:val="0"/>
            <w:vAlign w:val="center"/>
          </w:tcPr>
          <w:p w14:paraId="1EA27A83">
            <w:pPr>
              <w:spacing w:line="360" w:lineRule="auto"/>
              <w:rPr>
                <w:rFonts w:ascii="宋体" w:hAnsi="宋体" w:cs="仿宋_GB2312"/>
                <w:kern w:val="0"/>
                <w:lang w:val="zh-CN"/>
              </w:rPr>
            </w:pPr>
            <w:r>
              <w:rPr>
                <w:rFonts w:hint="eastAsia" w:ascii="宋体" w:hAnsi="宋体" w:cs="仿宋_GB2312"/>
                <w:kern w:val="0"/>
                <w:lang w:val="zh-CN"/>
              </w:rPr>
              <w:t>针对网络攻击，实时发现报警，告警方式包括电话、短信、微信等方式；</w:t>
            </w:r>
          </w:p>
        </w:tc>
      </w:tr>
      <w:tr w14:paraId="1CAD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56" w:type="dxa"/>
            <w:noWrap w:val="0"/>
            <w:vAlign w:val="center"/>
          </w:tcPr>
          <w:p w14:paraId="0EA53D67">
            <w:pPr>
              <w:spacing w:line="360" w:lineRule="auto"/>
              <w:jc w:val="center"/>
              <w:rPr>
                <w:rFonts w:ascii="宋体" w:hAnsi="宋体" w:cs="仿宋_GB2312"/>
                <w:kern w:val="0"/>
                <w:lang w:val="zh-CN"/>
              </w:rPr>
            </w:pPr>
            <w:r>
              <w:rPr>
                <w:rFonts w:hint="eastAsia" w:ascii="宋体" w:hAnsi="宋体" w:cs="仿宋_GB2312"/>
                <w:kern w:val="0"/>
                <w:lang w:val="zh-CN"/>
              </w:rPr>
              <w:t>非法入侵告警</w:t>
            </w:r>
          </w:p>
        </w:tc>
        <w:tc>
          <w:tcPr>
            <w:tcW w:w="7758" w:type="dxa"/>
            <w:noWrap w:val="0"/>
            <w:vAlign w:val="center"/>
          </w:tcPr>
          <w:p w14:paraId="1921F9D9">
            <w:pPr>
              <w:spacing w:line="360" w:lineRule="auto"/>
              <w:rPr>
                <w:rFonts w:ascii="宋体" w:hAnsi="宋体" w:cs="仿宋_GB2312"/>
                <w:kern w:val="0"/>
                <w:lang w:val="zh-CN"/>
              </w:rPr>
            </w:pPr>
            <w:r>
              <w:rPr>
                <w:rFonts w:hint="eastAsia" w:ascii="宋体" w:hAnsi="宋体" w:cs="仿宋_GB2312"/>
                <w:kern w:val="0"/>
                <w:lang w:val="zh-CN"/>
              </w:rPr>
              <w:t>针对非法入侵攻击现象，支持实时发现报警，告警方式包括电话、短信、微信等方式；</w:t>
            </w:r>
          </w:p>
        </w:tc>
      </w:tr>
      <w:tr w14:paraId="08AB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56" w:type="dxa"/>
            <w:noWrap w:val="0"/>
            <w:vAlign w:val="center"/>
          </w:tcPr>
          <w:p w14:paraId="4C4FF08F">
            <w:pPr>
              <w:spacing w:line="360" w:lineRule="auto"/>
              <w:jc w:val="center"/>
              <w:rPr>
                <w:rFonts w:ascii="宋体" w:hAnsi="宋体" w:cs="仿宋_GB2312"/>
                <w:kern w:val="0"/>
                <w:lang w:val="zh-CN"/>
              </w:rPr>
            </w:pPr>
            <w:r>
              <w:rPr>
                <w:rFonts w:hint="eastAsia" w:ascii="宋体" w:hAnsi="宋体" w:cs="仿宋_GB2312"/>
                <w:kern w:val="0"/>
                <w:lang w:val="zh-CN"/>
              </w:rPr>
              <w:t>高危0day事件告警</w:t>
            </w:r>
          </w:p>
        </w:tc>
        <w:tc>
          <w:tcPr>
            <w:tcW w:w="7758" w:type="dxa"/>
            <w:noWrap w:val="0"/>
            <w:vAlign w:val="center"/>
          </w:tcPr>
          <w:p w14:paraId="2035963F">
            <w:pPr>
              <w:spacing w:line="360" w:lineRule="auto"/>
              <w:rPr>
                <w:rFonts w:ascii="宋体" w:hAnsi="宋体" w:cs="仿宋_GB2312"/>
                <w:kern w:val="0"/>
                <w:lang w:val="zh-CN"/>
              </w:rPr>
            </w:pPr>
            <w:r>
              <w:rPr>
                <w:rFonts w:hint="eastAsia" w:ascii="宋体" w:hAnsi="宋体" w:cs="仿宋_GB2312"/>
                <w:kern w:val="0"/>
                <w:lang w:val="zh-CN"/>
              </w:rPr>
              <w:t>出现0DAY漏洞时，如有影响范围大、破坏性高的重要网络安全事件和安全漏洞快速预警通告和检测，检测结果第一时间定向推送到采购人</w:t>
            </w:r>
          </w:p>
        </w:tc>
      </w:tr>
      <w:tr w14:paraId="19C4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56" w:type="dxa"/>
            <w:noWrap w:val="0"/>
            <w:vAlign w:val="center"/>
          </w:tcPr>
          <w:p w14:paraId="65C008CE">
            <w:pPr>
              <w:spacing w:line="360" w:lineRule="auto"/>
              <w:jc w:val="center"/>
              <w:rPr>
                <w:rFonts w:ascii="宋体" w:hAnsi="宋体" w:cs="仿宋_GB2312"/>
                <w:kern w:val="0"/>
                <w:lang w:val="zh-CN"/>
              </w:rPr>
            </w:pPr>
            <w:r>
              <w:rPr>
                <w:rFonts w:hint="eastAsia" w:ascii="宋体" w:hAnsi="宋体" w:cs="仿宋_GB2312"/>
                <w:kern w:val="0"/>
                <w:lang w:val="zh-CN"/>
              </w:rPr>
              <w:t>应急响应事件处置</w:t>
            </w:r>
          </w:p>
        </w:tc>
        <w:tc>
          <w:tcPr>
            <w:tcW w:w="7758" w:type="dxa"/>
            <w:noWrap w:val="0"/>
            <w:vAlign w:val="center"/>
          </w:tcPr>
          <w:p w14:paraId="382FAD4C">
            <w:pPr>
              <w:spacing w:line="360" w:lineRule="auto"/>
              <w:rPr>
                <w:rFonts w:ascii="宋体" w:hAnsi="宋体" w:cs="仿宋_GB2312"/>
                <w:kern w:val="0"/>
                <w:lang w:val="zh-CN"/>
              </w:rPr>
            </w:pPr>
            <w:r>
              <w:rPr>
                <w:rFonts w:hint="eastAsia" w:ascii="宋体" w:hAnsi="宋体" w:cs="仿宋_GB2312"/>
                <w:kern w:val="0"/>
                <w:lang w:val="zh-CN"/>
              </w:rPr>
              <w:t>针对采购人突发的安全事件，如网页篡改，暗链，恶意程序，Dos攻击等，提供问题应急处置清除威胁协助恢复系统，并针对问题进行溯源分析入侵原因。</w:t>
            </w:r>
          </w:p>
        </w:tc>
      </w:tr>
    </w:tbl>
    <w:p w14:paraId="713E3035">
      <w:pPr>
        <w:tabs>
          <w:tab w:val="left" w:pos="510"/>
          <w:tab w:val="left" w:pos="540"/>
        </w:tabs>
        <w:adjustRightInd w:val="0"/>
        <w:spacing w:line="360" w:lineRule="auto"/>
        <w:ind w:left="426" w:leftChars="203"/>
        <w:rPr>
          <w:rFonts w:hint="eastAsia" w:ascii="宋体" w:hAnsi="宋体" w:cs="仿宋_GB2312"/>
          <w:b/>
          <w:szCs w:val="21"/>
        </w:rPr>
      </w:pPr>
      <w:bookmarkStart w:id="73" w:name="_Toc17514"/>
      <w:bookmarkStart w:id="74" w:name="_Toc8176"/>
      <w:bookmarkStart w:id="75" w:name="_Toc15976"/>
      <w:bookmarkStart w:id="76" w:name="_Toc7158"/>
      <w:bookmarkStart w:id="77" w:name="_Toc10759"/>
      <w:r>
        <w:rPr>
          <w:rFonts w:hint="eastAsia" w:ascii="宋体" w:hAnsi="宋体" w:cs="仿宋_GB2312"/>
          <w:b/>
          <w:szCs w:val="21"/>
        </w:rPr>
        <w:t>2.3.3.服务交付物</w:t>
      </w:r>
      <w:bookmarkEnd w:id="73"/>
      <w:bookmarkEnd w:id="74"/>
      <w:bookmarkEnd w:id="75"/>
      <w:bookmarkEnd w:id="76"/>
      <w:bookmarkEnd w:id="77"/>
    </w:p>
    <w:p w14:paraId="6096EA4D">
      <w:pPr>
        <w:tabs>
          <w:tab w:val="left" w:pos="510"/>
          <w:tab w:val="left" w:pos="540"/>
        </w:tabs>
        <w:adjustRightInd w:val="0"/>
        <w:spacing w:line="360" w:lineRule="auto"/>
        <w:ind w:firstLine="420" w:firstLineChars="200"/>
        <w:rPr>
          <w:rFonts w:ascii="宋体" w:hAnsi="宋体"/>
          <w:szCs w:val="21"/>
        </w:rPr>
      </w:pPr>
      <w:r>
        <w:rPr>
          <w:rFonts w:hint="eastAsia" w:ascii="宋体" w:hAnsi="宋体"/>
          <w:szCs w:val="21"/>
        </w:rPr>
        <w:t>在重要时期提供保障服务，当重要时期结束后，针对服务内容进行报告交付；包括但不限于以下交付物：《重保值守安全事件分析报告》、《重保值守每日安全状况报表》等。</w:t>
      </w:r>
    </w:p>
    <w:p w14:paraId="5F0DFB4A">
      <w:pPr>
        <w:pStyle w:val="2"/>
        <w:rPr>
          <w:szCs w:val="21"/>
        </w:rPr>
      </w:pPr>
    </w:p>
    <w:p w14:paraId="7CDA7B8D">
      <w:pPr>
        <w:tabs>
          <w:tab w:val="left" w:pos="510"/>
          <w:tab w:val="left" w:pos="540"/>
        </w:tabs>
        <w:adjustRightInd w:val="0"/>
        <w:spacing w:line="360" w:lineRule="auto"/>
        <w:ind w:left="426" w:leftChars="203"/>
        <w:rPr>
          <w:rFonts w:ascii="宋体" w:hAnsi="宋体"/>
          <w:b/>
          <w:szCs w:val="21"/>
        </w:rPr>
      </w:pPr>
      <w:bookmarkStart w:id="78" w:name="_Toc5041"/>
      <w:bookmarkStart w:id="79" w:name="_Toc8971"/>
      <w:bookmarkStart w:id="80" w:name="_Toc14043"/>
      <w:bookmarkStart w:id="81" w:name="_Toc17277"/>
      <w:bookmarkStart w:id="82" w:name="_Toc11961"/>
      <w:r>
        <w:rPr>
          <w:rFonts w:hint="eastAsia" w:ascii="宋体" w:hAnsi="宋体"/>
          <w:b/>
          <w:szCs w:val="21"/>
        </w:rPr>
        <w:t>2.4.网站安全防护服务</w:t>
      </w:r>
      <w:bookmarkEnd w:id="78"/>
      <w:bookmarkEnd w:id="79"/>
      <w:bookmarkEnd w:id="80"/>
      <w:bookmarkEnd w:id="81"/>
      <w:bookmarkEnd w:id="82"/>
    </w:p>
    <w:p w14:paraId="132AA980">
      <w:pPr>
        <w:tabs>
          <w:tab w:val="left" w:pos="510"/>
          <w:tab w:val="left" w:pos="540"/>
        </w:tabs>
        <w:adjustRightInd w:val="0"/>
        <w:spacing w:line="360" w:lineRule="auto"/>
        <w:ind w:firstLine="420" w:firstLineChars="200"/>
        <w:rPr>
          <w:rFonts w:ascii="宋体" w:hAnsi="宋体"/>
        </w:rPr>
      </w:pPr>
      <w:r>
        <w:rPr>
          <w:rFonts w:hint="eastAsia" w:ascii="宋体" w:hAnsi="宋体"/>
        </w:rPr>
        <w:t>分布式拒绝服务型攻击（Distributed Denial of Services简称DDoS攻击）是目前互联网中存在的最常见、危害性最大的攻击形式之一。DDoS攻击严重威胁到高校校园网的基础设施。</w:t>
      </w:r>
    </w:p>
    <w:p w14:paraId="6A6CC7D6">
      <w:pPr>
        <w:tabs>
          <w:tab w:val="left" w:pos="510"/>
          <w:tab w:val="left" w:pos="540"/>
        </w:tabs>
        <w:adjustRightInd w:val="0"/>
        <w:spacing w:line="360" w:lineRule="auto"/>
        <w:ind w:firstLine="420" w:firstLineChars="200"/>
        <w:rPr>
          <w:rFonts w:hint="eastAsia"/>
        </w:rPr>
      </w:pPr>
      <w:r>
        <w:rPr>
          <w:rFonts w:hint="eastAsia" w:ascii="宋体" w:hAnsi="宋体"/>
        </w:rPr>
        <w:t>在这种紧迫形势下，配合当前数字化校园的建设战略，采购专门的DDoS攻击流量清洗服务是一个必然之选。基于该服务，一方面可以为学校网络中对外的网站业务提供流量清洗的安全保障，有效提高校园网网络的健壮性；另一方面能够结合数字化校园应用系统的安全需求提供针对网站攻击的防护业务，例如：SQL注入漏洞攻击、XSS跨站攻击、命令注入攻击等，从而达到提高网络带宽高利用率和网络高可用性的目的。</w:t>
      </w:r>
    </w:p>
    <w:p w14:paraId="0F7E319E">
      <w:pPr>
        <w:tabs>
          <w:tab w:val="left" w:pos="510"/>
          <w:tab w:val="left" w:pos="540"/>
        </w:tabs>
        <w:adjustRightInd w:val="0"/>
        <w:spacing w:line="360" w:lineRule="auto"/>
        <w:ind w:firstLine="422" w:firstLineChars="200"/>
        <w:rPr>
          <w:rFonts w:hint="eastAsia" w:ascii="宋体" w:hAnsi="宋体" w:cs="仿宋_GB2312"/>
          <w:b/>
          <w:szCs w:val="28"/>
        </w:rPr>
      </w:pPr>
      <w:bookmarkStart w:id="83" w:name="_Toc3896"/>
      <w:bookmarkStart w:id="84" w:name="_Toc14597"/>
      <w:bookmarkStart w:id="85" w:name="_Toc17809"/>
      <w:bookmarkStart w:id="86" w:name="_Toc10954"/>
      <w:r>
        <w:rPr>
          <w:rFonts w:hint="eastAsia" w:ascii="宋体" w:hAnsi="宋体" w:cs="仿宋_GB2312"/>
          <w:b/>
          <w:szCs w:val="28"/>
        </w:rPr>
        <w:t>2.4.1服务内容</w:t>
      </w:r>
      <w:bookmarkEnd w:id="83"/>
      <w:bookmarkEnd w:id="84"/>
      <w:bookmarkEnd w:id="85"/>
      <w:bookmarkEnd w:id="86"/>
    </w:p>
    <w:p w14:paraId="7132DF53">
      <w:pPr>
        <w:numPr>
          <w:ilvl w:val="3"/>
          <w:numId w:val="0"/>
        </w:numPr>
        <w:tabs>
          <w:tab w:val="left" w:pos="510"/>
          <w:tab w:val="left" w:pos="540"/>
          <w:tab w:val="left" w:pos="993"/>
          <w:tab w:val="left" w:pos="1134"/>
        </w:tabs>
        <w:adjustRightInd w:val="0"/>
        <w:spacing w:line="360" w:lineRule="auto"/>
        <w:ind w:left="1080" w:leftChars="200" w:hanging="660" w:hangingChars="313"/>
        <w:rPr>
          <w:rFonts w:hint="eastAsia" w:ascii="宋体" w:hAnsi="宋体"/>
          <w:b/>
        </w:rPr>
      </w:pPr>
      <w:r>
        <w:rPr>
          <w:rFonts w:hint="eastAsia" w:ascii="宋体" w:hAnsi="宋体"/>
          <w:b/>
        </w:rPr>
        <w:t>2.4.1.1WEB攻击防护服务</w:t>
      </w:r>
    </w:p>
    <w:p w14:paraId="13A44AF7">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Web攻击防护服务需要支持防护黑客常用的SQL注入攻击、命令注入攻击、跨站脚本攻击、后门攻击、目录遍历、文件包含、多种CMS及开源组件漏洞、反序列化攻击、溢出攻击等多种攻击方式。可以检查包括Get域、Post域、Cookie域、Response域等多个黑客攻击代码常见的数据包所在位置。内置深度解码引擎，防止黑客通过URL编码、ANSII编码、Hex编码、Base64编码、大小写混淆、注释字符、参数污染等多种绕过方式绕过WAF的防护。</w:t>
      </w:r>
    </w:p>
    <w:p w14:paraId="015409F4">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能够对主流的攻击工具进行识别并进行拦截，比如啊D、明小子、穿山甲、SQLMap等自动化的工具。</w:t>
      </w:r>
    </w:p>
    <w:p w14:paraId="13D59C17">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由于攻击者在对网站进行攻击时往往是先通过扫描器对网站进行漏洞扫描，然后根据网站所存在的漏洞情况再做针对性的攻击，因此中标人提供的防护服务应能够对主流的WEB漏洞扫描工具进行识别并拦截，如AppScan、Awvs等漏洞扫描器，同时可结合自身强大的CC防护能力对攻击IP进行全局拉黑封禁，以增加攻击者的攻击时间成本。</w:t>
      </w:r>
    </w:p>
    <w:p w14:paraId="1F24C267">
      <w:pPr>
        <w:numPr>
          <w:ilvl w:val="3"/>
          <w:numId w:val="0"/>
        </w:numPr>
        <w:tabs>
          <w:tab w:val="left" w:pos="510"/>
          <w:tab w:val="left" w:pos="540"/>
          <w:tab w:val="left" w:pos="993"/>
          <w:tab w:val="left" w:pos="1134"/>
        </w:tabs>
        <w:adjustRightInd w:val="0"/>
        <w:spacing w:line="360" w:lineRule="auto"/>
        <w:ind w:left="1080" w:leftChars="200" w:hanging="660" w:hangingChars="313"/>
        <w:rPr>
          <w:rFonts w:hint="eastAsia" w:ascii="宋体" w:hAnsi="宋体"/>
          <w:b/>
        </w:rPr>
      </w:pPr>
      <w:r>
        <w:rPr>
          <w:rFonts w:hint="eastAsia" w:ascii="宋体" w:hAnsi="宋体"/>
          <w:b/>
        </w:rPr>
        <w:t>2.4.1.2DDOS防护服务</w:t>
      </w:r>
    </w:p>
    <w:p w14:paraId="4CCD66DD">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D</w:t>
      </w:r>
      <w:r>
        <w:rPr>
          <w:rFonts w:ascii="宋体" w:hAnsi="宋体"/>
        </w:rPr>
        <w:t>DOS</w:t>
      </w:r>
      <w:r>
        <w:rPr>
          <w:rFonts w:hint="eastAsia" w:ascii="宋体" w:hAnsi="宋体"/>
        </w:rPr>
        <w:t>防护服务需要具备超强的流量清洗能力。网站接入云防护系统后，相当于在数据中心之外形成了一层智能的保护网，当恶意流量和正常请求同时到来时，节点可自动精准识别攻击行为和用户请求，并在云端节点对恶意流量进行实时拦截，同时对正常请求执行放过操作。同时支持三大运营商的覆盖，能应对多类型应用场景的DDoS攻击，真正实现将攻击拒之门外。</w:t>
      </w:r>
    </w:p>
    <w:p w14:paraId="48FD61C9">
      <w:pPr>
        <w:numPr>
          <w:ilvl w:val="3"/>
          <w:numId w:val="0"/>
        </w:numPr>
        <w:tabs>
          <w:tab w:val="left" w:pos="510"/>
          <w:tab w:val="left" w:pos="540"/>
          <w:tab w:val="left" w:pos="993"/>
          <w:tab w:val="left" w:pos="1134"/>
        </w:tabs>
        <w:adjustRightInd w:val="0"/>
        <w:spacing w:line="360" w:lineRule="auto"/>
        <w:ind w:left="1080" w:leftChars="200" w:hanging="660" w:hangingChars="313"/>
        <w:rPr>
          <w:rFonts w:hint="eastAsia" w:ascii="宋体" w:hAnsi="宋体"/>
          <w:b/>
        </w:rPr>
      </w:pPr>
      <w:r>
        <w:rPr>
          <w:rFonts w:hint="eastAsia" w:ascii="宋体" w:hAnsi="宋体"/>
          <w:b/>
        </w:rPr>
        <w:t>2.4.1.3CDN加速服务</w:t>
      </w:r>
    </w:p>
    <w:p w14:paraId="39D073ED">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C</w:t>
      </w:r>
      <w:r>
        <w:rPr>
          <w:rFonts w:ascii="宋体" w:hAnsi="宋体"/>
        </w:rPr>
        <w:t>DN</w:t>
      </w:r>
      <w:r>
        <w:rPr>
          <w:rFonts w:hint="eastAsia" w:ascii="宋体" w:hAnsi="宋体"/>
        </w:rPr>
        <w:t>加速服务需要具备缓存加速的能力，当访问用户第一次请求源站时，将源站的JS、CSS、图片、Html、文件等文件进行压缩缓存，当后续有用户再次对这些文件资源发起请求时，就可以就近选择高质量的节点机房，获取缓存在云防护节点的文件，大大提升了访问效率，提升用户的访问体验，同时也降低了源站链路和服务器的负载，达到降源增速的效果。</w:t>
      </w:r>
    </w:p>
    <w:p w14:paraId="3AB836E3">
      <w:pPr>
        <w:numPr>
          <w:ilvl w:val="3"/>
          <w:numId w:val="0"/>
        </w:numPr>
        <w:tabs>
          <w:tab w:val="left" w:pos="510"/>
          <w:tab w:val="left" w:pos="540"/>
          <w:tab w:val="left" w:pos="993"/>
          <w:tab w:val="left" w:pos="1134"/>
        </w:tabs>
        <w:adjustRightInd w:val="0"/>
        <w:spacing w:line="360" w:lineRule="auto"/>
        <w:ind w:left="1080" w:leftChars="200" w:hanging="660" w:hangingChars="313"/>
        <w:rPr>
          <w:rFonts w:hint="eastAsia" w:ascii="宋体" w:hAnsi="宋体"/>
          <w:b/>
        </w:rPr>
      </w:pPr>
      <w:r>
        <w:rPr>
          <w:rFonts w:hint="eastAsia" w:ascii="宋体" w:hAnsi="宋体"/>
          <w:b/>
        </w:rPr>
        <w:t>2.4.1.4高防DNS服务</w:t>
      </w:r>
    </w:p>
    <w:p w14:paraId="23971F46">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高防D</w:t>
      </w:r>
      <w:r>
        <w:rPr>
          <w:rFonts w:ascii="宋体" w:hAnsi="宋体"/>
        </w:rPr>
        <w:t>NS</w:t>
      </w:r>
      <w:r>
        <w:rPr>
          <w:rFonts w:hint="eastAsia" w:ascii="宋体" w:hAnsi="宋体"/>
        </w:rPr>
        <w:t>服务需要通过权威DNS服务器，在防御DNS Request  Flood攻击上，需要针对不同严重程度的DNS Request Flood攻击，采用不同的技术进行清洗，包括TC源认证法（通过控制DNS协议中的TC字段来让客户端将UDP的DNS请求改成TCP的DNS请求，如果客户端可以响应则认为是正常请求，如果无法响应则认为是攻击，会直接将攻击流量丢弃）、CNAME重定向方式（类似SYN Cookie，即对DNS请求进行一次DNS重定向，正常访问者可以响应重定向报文并访问指定重定向地址，DNS服务器对访问重定向地址的请求进行校验，从而可以达到较好的清洗效果）等。将根据针对DNS服务器的不同级别的攻击自动选择某种方式进行清洗防御。</w:t>
      </w:r>
    </w:p>
    <w:p w14:paraId="3BEF08CA">
      <w:pPr>
        <w:numPr>
          <w:ilvl w:val="3"/>
          <w:numId w:val="0"/>
        </w:numPr>
        <w:tabs>
          <w:tab w:val="left" w:pos="510"/>
          <w:tab w:val="left" w:pos="540"/>
          <w:tab w:val="left" w:pos="993"/>
          <w:tab w:val="left" w:pos="1134"/>
        </w:tabs>
        <w:adjustRightInd w:val="0"/>
        <w:spacing w:line="360" w:lineRule="auto"/>
        <w:ind w:left="1080" w:leftChars="200" w:hanging="660" w:hangingChars="313"/>
        <w:rPr>
          <w:rFonts w:hint="eastAsia" w:ascii="宋体" w:hAnsi="宋体"/>
          <w:b/>
        </w:rPr>
      </w:pPr>
      <w:r>
        <w:rPr>
          <w:rFonts w:hint="eastAsia" w:ascii="宋体" w:hAnsi="宋体"/>
          <w:b/>
        </w:rPr>
        <w:t>2.4.1.5重保只读服务</w:t>
      </w:r>
    </w:p>
    <w:p w14:paraId="655A5DE0">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重保只读服务，需要提供需要将被保护的网站静态资源主动爬取缓存到WEB安全云防护系统的缓存服务器中的服务。重保期间，当源站出现网站服务停止、网站服务器宕机、网络异常等情况无法正常提供服务时，可以使用缓存的静态页面文件继续对外展示网站页面，保证在重要时期网站持续对外提供正常服务。</w:t>
      </w:r>
    </w:p>
    <w:p w14:paraId="61FA82F2">
      <w:pPr>
        <w:numPr>
          <w:ilvl w:val="3"/>
          <w:numId w:val="0"/>
        </w:numPr>
        <w:tabs>
          <w:tab w:val="left" w:pos="510"/>
          <w:tab w:val="left" w:pos="540"/>
          <w:tab w:val="left" w:pos="993"/>
          <w:tab w:val="left" w:pos="1134"/>
        </w:tabs>
        <w:adjustRightInd w:val="0"/>
        <w:spacing w:line="360" w:lineRule="auto"/>
        <w:ind w:left="1080" w:leftChars="200" w:hanging="660" w:hangingChars="313"/>
        <w:rPr>
          <w:rFonts w:ascii="宋体" w:hAnsi="宋体"/>
          <w:b/>
        </w:rPr>
      </w:pPr>
      <w:r>
        <w:rPr>
          <w:rFonts w:hint="eastAsia" w:ascii="宋体" w:hAnsi="宋体"/>
          <w:b/>
        </w:rPr>
        <w:t>2.4.1.6服务交付物</w:t>
      </w:r>
    </w:p>
    <w:p w14:paraId="49885DDD">
      <w:pPr>
        <w:tabs>
          <w:tab w:val="left" w:pos="510"/>
          <w:tab w:val="left" w:pos="540"/>
        </w:tabs>
        <w:adjustRightInd w:val="0"/>
        <w:spacing w:line="360" w:lineRule="auto"/>
        <w:ind w:firstLine="420" w:firstLineChars="200"/>
        <w:rPr>
          <w:rFonts w:ascii="宋体" w:hAnsi="宋体"/>
        </w:rPr>
      </w:pPr>
      <w:r>
        <w:rPr>
          <w:rFonts w:hint="eastAsia" w:ascii="宋体" w:hAnsi="宋体"/>
        </w:rPr>
        <w:t>服务开通：为佛山大学提供电信出口的DDOS防护服务，网站安全防护服务开通后，佛山大学会收到服务开通通知，并通过该通知获取到访问地址、账号信息等关键信息。</w:t>
      </w:r>
    </w:p>
    <w:p w14:paraId="74BF5DB9">
      <w:pPr>
        <w:tabs>
          <w:tab w:val="left" w:pos="510"/>
          <w:tab w:val="left" w:pos="540"/>
        </w:tabs>
        <w:adjustRightInd w:val="0"/>
        <w:spacing w:line="360" w:lineRule="auto"/>
        <w:ind w:left="420" w:leftChars="200"/>
        <w:rPr>
          <w:rFonts w:hint="eastAsia" w:ascii="宋体" w:hAnsi="宋体"/>
          <w:b/>
          <w:szCs w:val="21"/>
        </w:rPr>
      </w:pPr>
      <w:bookmarkStart w:id="87" w:name="_Toc25276"/>
      <w:bookmarkStart w:id="88" w:name="_Toc9655"/>
      <w:bookmarkStart w:id="89" w:name="_Toc540"/>
      <w:bookmarkStart w:id="90" w:name="_Toc10561"/>
      <w:bookmarkStart w:id="91" w:name="_Toc8262"/>
      <w:r>
        <w:rPr>
          <w:rFonts w:hint="eastAsia" w:ascii="宋体" w:hAnsi="宋体"/>
          <w:b/>
          <w:szCs w:val="21"/>
        </w:rPr>
        <w:t>2.5.网站证书服务</w:t>
      </w:r>
      <w:bookmarkEnd w:id="87"/>
      <w:bookmarkEnd w:id="88"/>
      <w:bookmarkEnd w:id="89"/>
      <w:bookmarkEnd w:id="90"/>
      <w:bookmarkEnd w:id="91"/>
    </w:p>
    <w:p w14:paraId="19200CB6">
      <w:pPr>
        <w:tabs>
          <w:tab w:val="left" w:pos="510"/>
          <w:tab w:val="left" w:pos="540"/>
        </w:tabs>
        <w:adjustRightInd w:val="0"/>
        <w:spacing w:line="360" w:lineRule="auto"/>
        <w:ind w:left="420" w:leftChars="200"/>
        <w:rPr>
          <w:rFonts w:hint="eastAsia" w:ascii="宋体" w:hAnsi="宋体" w:cs="仿宋_GB2312"/>
          <w:b/>
          <w:szCs w:val="21"/>
        </w:rPr>
      </w:pPr>
      <w:bookmarkStart w:id="92" w:name="_Toc25158"/>
      <w:r>
        <w:rPr>
          <w:rFonts w:hint="eastAsia" w:ascii="宋体" w:hAnsi="宋体" w:cs="仿宋_GB2312"/>
          <w:b/>
          <w:szCs w:val="21"/>
        </w:rPr>
        <w:t>2.5.1网站证书的功能</w:t>
      </w:r>
      <w:bookmarkEnd w:id="92"/>
    </w:p>
    <w:p w14:paraId="1BED49D2">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防劫持、防篡改、防监听：使用SSL证书实现网站的HTTPS化，可以对网站用户与网站间的交互访问全链路数据进行加密，从而实现传输数据的防劫持、防篡改、防监听。</w:t>
      </w:r>
    </w:p>
    <w:p w14:paraId="459113B4">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提升网站的搜索排名：使用SSL证书实现网站的HTTPS化后，网站在搜索引擎显示结果中的排名将会更高，有利于提升网站的搜索排名和站点的可信度。</w:t>
      </w:r>
    </w:p>
    <w:p w14:paraId="2893CAE2">
      <w:pPr>
        <w:tabs>
          <w:tab w:val="left" w:pos="510"/>
          <w:tab w:val="left" w:pos="540"/>
        </w:tabs>
        <w:adjustRightInd w:val="0"/>
        <w:spacing w:line="360" w:lineRule="auto"/>
        <w:ind w:firstLine="420" w:firstLineChars="200"/>
      </w:pPr>
      <w:r>
        <w:rPr>
          <w:rFonts w:hint="eastAsia" w:ascii="宋体" w:hAnsi="宋体"/>
        </w:rPr>
        <w:t>提升网站的访问流量：使用SSL证书实现网站的HTTPS化，可以强化网站在用户侧的身份可信程度，使网站用户能更安心地访问网站，提升网站的访问流量。</w:t>
      </w:r>
    </w:p>
    <w:p w14:paraId="298BE5EE">
      <w:pPr>
        <w:tabs>
          <w:tab w:val="left" w:pos="510"/>
          <w:tab w:val="left" w:pos="540"/>
        </w:tabs>
        <w:adjustRightInd w:val="0"/>
        <w:spacing w:line="360" w:lineRule="auto"/>
        <w:ind w:left="420" w:leftChars="200"/>
        <w:rPr>
          <w:rFonts w:hint="eastAsia" w:ascii="宋体" w:hAnsi="宋体" w:cs="仿宋_GB2312"/>
          <w:b/>
          <w:szCs w:val="28"/>
        </w:rPr>
      </w:pPr>
      <w:bookmarkStart w:id="93" w:name="_Toc22186"/>
      <w:r>
        <w:rPr>
          <w:rFonts w:hint="eastAsia" w:ascii="宋体" w:hAnsi="宋体" w:cs="仿宋_GB2312"/>
          <w:b/>
          <w:szCs w:val="28"/>
        </w:rPr>
        <w:t>2.5.2服务交付物</w:t>
      </w:r>
      <w:bookmarkEnd w:id="93"/>
    </w:p>
    <w:p w14:paraId="3F30128C">
      <w:pPr>
        <w:tabs>
          <w:tab w:val="left" w:pos="510"/>
          <w:tab w:val="left" w:pos="540"/>
        </w:tabs>
        <w:adjustRightInd w:val="0"/>
        <w:spacing w:line="360" w:lineRule="auto"/>
        <w:ind w:firstLine="420" w:firstLineChars="200"/>
      </w:pPr>
      <w:r>
        <w:rPr>
          <w:rFonts w:hint="eastAsia" w:ascii="宋体" w:hAnsi="宋体"/>
        </w:rPr>
        <w:t>提供给学校的数字证书，一年的使用期限，逐年更新。</w:t>
      </w:r>
    </w:p>
    <w:p w14:paraId="4C31DF94">
      <w:pPr>
        <w:tabs>
          <w:tab w:val="left" w:pos="510"/>
          <w:tab w:val="left" w:pos="540"/>
        </w:tabs>
        <w:adjustRightInd w:val="0"/>
        <w:spacing w:line="360" w:lineRule="auto"/>
        <w:ind w:left="420" w:leftChars="200"/>
        <w:rPr>
          <w:rFonts w:hint="eastAsia" w:ascii="宋体" w:hAnsi="宋体"/>
          <w:b/>
          <w:szCs w:val="21"/>
        </w:rPr>
      </w:pPr>
      <w:bookmarkStart w:id="94" w:name="_Toc18249"/>
      <w:bookmarkStart w:id="95" w:name="_Toc18967"/>
      <w:bookmarkStart w:id="96" w:name="_Toc28872"/>
      <w:bookmarkStart w:id="97" w:name="_Toc21568"/>
      <w:r>
        <w:rPr>
          <w:rFonts w:hint="eastAsia" w:ascii="宋体" w:hAnsi="宋体"/>
          <w:b/>
          <w:szCs w:val="21"/>
        </w:rPr>
        <w:t>2.6.终端安全加固服务</w:t>
      </w:r>
      <w:bookmarkEnd w:id="94"/>
      <w:bookmarkEnd w:id="95"/>
      <w:bookmarkEnd w:id="96"/>
      <w:bookmarkEnd w:id="97"/>
    </w:p>
    <w:p w14:paraId="332E123D">
      <w:pPr>
        <w:tabs>
          <w:tab w:val="left" w:pos="510"/>
          <w:tab w:val="left" w:pos="540"/>
        </w:tabs>
        <w:adjustRightInd w:val="0"/>
        <w:spacing w:line="360" w:lineRule="auto"/>
        <w:ind w:left="420" w:leftChars="200"/>
        <w:rPr>
          <w:rFonts w:hint="eastAsia" w:ascii="宋体" w:hAnsi="宋体" w:cs="仿宋_GB2312"/>
          <w:b/>
          <w:szCs w:val="21"/>
        </w:rPr>
      </w:pPr>
      <w:bookmarkStart w:id="98" w:name="_Toc458"/>
      <w:bookmarkStart w:id="99" w:name="_Toc15659"/>
      <w:bookmarkStart w:id="100" w:name="_Toc7144"/>
      <w:bookmarkStart w:id="101" w:name="_Toc2106"/>
      <w:r>
        <w:rPr>
          <w:rFonts w:hint="eastAsia" w:ascii="宋体" w:hAnsi="宋体" w:cs="仿宋_GB2312"/>
          <w:b/>
          <w:szCs w:val="21"/>
        </w:rPr>
        <w:t>2.6.1终端安全加固服务内容</w:t>
      </w:r>
      <w:bookmarkEnd w:id="98"/>
      <w:bookmarkEnd w:id="99"/>
      <w:bookmarkEnd w:id="100"/>
      <w:bookmarkEnd w:id="101"/>
    </w:p>
    <w:p w14:paraId="4BACCF8A">
      <w:pPr>
        <w:tabs>
          <w:tab w:val="left" w:pos="510"/>
          <w:tab w:val="left" w:pos="540"/>
        </w:tabs>
        <w:adjustRightInd w:val="0"/>
        <w:spacing w:line="360" w:lineRule="auto"/>
        <w:ind w:firstLine="420" w:firstLineChars="200"/>
        <w:rPr>
          <w:rFonts w:hint="eastAsia" w:ascii="宋体" w:hAnsi="宋体"/>
        </w:rPr>
      </w:pPr>
      <w:r>
        <w:rPr>
          <w:rFonts w:hint="eastAsia" w:ascii="宋体" w:hAnsi="宋体"/>
          <w:szCs w:val="21"/>
        </w:rPr>
        <w:t>依据网络安全相关政策标准及实践，</w:t>
      </w:r>
      <w:r>
        <w:rPr>
          <w:rFonts w:hint="eastAsia" w:ascii="宋体" w:hAnsi="宋体"/>
        </w:rPr>
        <w:t>对我校当前网络内校内终端提供防护、处置以及运维服务。包括病毒防护、补丁管理以及对系统病毒库、漏洞库、补丁库、软硬件的升级。在日常终端运营重，通过安全技术+人运营的方式，制定终端安全策略，提升终端安全安装率、正常率、合规率，辅助采购人推动终端状态改进。</w:t>
      </w:r>
    </w:p>
    <w:p w14:paraId="76071034">
      <w:pPr>
        <w:tabs>
          <w:tab w:val="left" w:pos="510"/>
          <w:tab w:val="left" w:pos="540"/>
        </w:tabs>
        <w:adjustRightInd w:val="0"/>
        <w:spacing w:line="360" w:lineRule="auto"/>
        <w:ind w:firstLine="420" w:firstLineChars="200"/>
        <w:rPr>
          <w:rFonts w:ascii="宋体" w:hAnsi="宋体"/>
        </w:rPr>
      </w:pPr>
      <w:r>
        <w:rPr>
          <w:rFonts w:hint="eastAsia" w:ascii="宋体" w:hAnsi="宋体"/>
        </w:rPr>
        <w:t>（1）病毒防护：借助服务工具，对蠕虫病毒、恶意软件、广告软件、勒索软件、引导区病毒、</w:t>
      </w:r>
      <w:r>
        <w:rPr>
          <w:rFonts w:ascii="宋体" w:hAnsi="宋体"/>
        </w:rPr>
        <w:t>BIOS</w:t>
      </w:r>
      <w:r>
        <w:rPr>
          <w:rFonts w:hint="eastAsia" w:ascii="宋体" w:hAnsi="宋体"/>
        </w:rPr>
        <w:t>病毒的查杀，保证我区政务网络终端病毒数量处于一个正常、健康</w:t>
      </w:r>
      <w:r>
        <w:rPr>
          <w:rFonts w:ascii="宋体" w:hAnsi="宋体"/>
        </w:rPr>
        <w:t xml:space="preserve"> </w:t>
      </w:r>
      <w:r>
        <w:rPr>
          <w:rFonts w:hint="eastAsia" w:ascii="宋体" w:hAnsi="宋体"/>
        </w:rPr>
        <w:t>。</w:t>
      </w:r>
    </w:p>
    <w:p w14:paraId="1771D7EC">
      <w:pPr>
        <w:tabs>
          <w:tab w:val="left" w:pos="510"/>
          <w:tab w:val="left" w:pos="540"/>
        </w:tabs>
        <w:adjustRightInd w:val="0"/>
        <w:spacing w:line="360" w:lineRule="auto"/>
        <w:ind w:firstLine="420" w:firstLineChars="200"/>
        <w:rPr>
          <w:rFonts w:ascii="宋体" w:hAnsi="宋体"/>
        </w:rPr>
      </w:pPr>
      <w:r>
        <w:rPr>
          <w:rFonts w:hint="eastAsia" w:ascii="宋体" w:hAnsi="宋体"/>
        </w:rPr>
        <w:t>（2）补丁管理：对终端存在的漏洞，提供补丁多种下载方式，通过更新补丁来完善软件、修补漏洞，提高软件的健壮性，延长软件的生命周期。</w:t>
      </w:r>
    </w:p>
    <w:p w14:paraId="702F186F">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采用一个终端安全客户端，实现统一防病毒、统一补丁管理、统一终端准入、软件统一分发卸载、终端安全策略管理、威胁评估、应用与外设管控、终端审计、数据防泄密等多种管理功能，从而减少了软件冲突、资源占用、兼容稳定性等问题，管理员可以通过控制台直接对网内所有终端进行统一管控。确保全网终端安全看得见、管得住。</w:t>
      </w:r>
    </w:p>
    <w:p w14:paraId="13EDA7C3">
      <w:pPr>
        <w:tabs>
          <w:tab w:val="left" w:pos="510"/>
          <w:tab w:val="left" w:pos="540"/>
        </w:tabs>
        <w:adjustRightInd w:val="0"/>
        <w:spacing w:line="360" w:lineRule="auto"/>
        <w:ind w:left="420" w:leftChars="200"/>
        <w:rPr>
          <w:rFonts w:hint="eastAsia" w:ascii="宋体" w:hAnsi="宋体" w:cs="仿宋_GB2312"/>
          <w:b/>
          <w:szCs w:val="28"/>
        </w:rPr>
      </w:pPr>
      <w:bookmarkStart w:id="102" w:name="_Toc31972"/>
      <w:bookmarkStart w:id="103" w:name="_Toc2457"/>
      <w:bookmarkStart w:id="104" w:name="_Toc23047"/>
      <w:bookmarkStart w:id="105" w:name="_Toc16133"/>
      <w:r>
        <w:rPr>
          <w:rFonts w:hint="eastAsia" w:ascii="宋体" w:hAnsi="宋体" w:cs="仿宋_GB2312"/>
          <w:b/>
          <w:szCs w:val="28"/>
        </w:rPr>
        <w:t>2.6.2终端安全加固服务交付物</w:t>
      </w:r>
      <w:bookmarkEnd w:id="102"/>
      <w:bookmarkEnd w:id="103"/>
      <w:bookmarkEnd w:id="104"/>
      <w:bookmarkEnd w:id="105"/>
    </w:p>
    <w:p w14:paraId="562CF9F0">
      <w:pPr>
        <w:tabs>
          <w:tab w:val="left" w:pos="510"/>
          <w:tab w:val="left" w:pos="540"/>
        </w:tabs>
        <w:adjustRightInd w:val="0"/>
        <w:spacing w:line="360" w:lineRule="auto"/>
        <w:ind w:firstLine="420" w:firstLineChars="200"/>
      </w:pPr>
      <w:r>
        <w:rPr>
          <w:rFonts w:hint="eastAsia" w:ascii="宋体" w:hAnsi="宋体"/>
        </w:rPr>
        <w:t>提供终端天擎1套，不少于1</w:t>
      </w:r>
      <w:r>
        <w:rPr>
          <w:rFonts w:ascii="宋体" w:hAnsi="宋体"/>
        </w:rPr>
        <w:t>50</w:t>
      </w:r>
      <w:r>
        <w:rPr>
          <w:rFonts w:hint="eastAsia" w:ascii="宋体" w:hAnsi="宋体"/>
        </w:rPr>
        <w:t>台终端授权，使运维人员能进行终端安全加固工作，并提供天擎服务器的升级和维护服务。</w:t>
      </w:r>
    </w:p>
    <w:p w14:paraId="3B9A4520">
      <w:pPr>
        <w:tabs>
          <w:tab w:val="left" w:pos="510"/>
          <w:tab w:val="left" w:pos="540"/>
        </w:tabs>
        <w:adjustRightInd w:val="0"/>
        <w:spacing w:line="360" w:lineRule="auto"/>
        <w:ind w:left="420" w:leftChars="200"/>
        <w:rPr>
          <w:rFonts w:hint="eastAsia" w:ascii="宋体" w:hAnsi="宋体"/>
          <w:b/>
          <w:szCs w:val="21"/>
        </w:rPr>
      </w:pPr>
      <w:bookmarkStart w:id="106" w:name="_Toc16143"/>
      <w:bookmarkStart w:id="107" w:name="_Toc14360"/>
      <w:bookmarkStart w:id="108" w:name="_Toc14571"/>
      <w:bookmarkStart w:id="109" w:name="_Toc15570"/>
      <w:r>
        <w:rPr>
          <w:rFonts w:hint="eastAsia" w:ascii="宋体" w:hAnsi="宋体"/>
          <w:b/>
          <w:szCs w:val="21"/>
        </w:rPr>
        <w:t>2.7.网络安全的应急演练服务</w:t>
      </w:r>
      <w:bookmarkEnd w:id="106"/>
      <w:bookmarkEnd w:id="107"/>
      <w:bookmarkEnd w:id="108"/>
      <w:bookmarkEnd w:id="109"/>
    </w:p>
    <w:p w14:paraId="429D6E86">
      <w:pPr>
        <w:tabs>
          <w:tab w:val="left" w:pos="510"/>
          <w:tab w:val="left" w:pos="540"/>
        </w:tabs>
        <w:adjustRightInd w:val="0"/>
        <w:spacing w:line="360" w:lineRule="auto"/>
        <w:ind w:left="420" w:leftChars="200"/>
        <w:rPr>
          <w:rFonts w:hint="eastAsia" w:ascii="宋体" w:hAnsi="宋体" w:cs="仿宋_GB2312"/>
          <w:b/>
          <w:szCs w:val="21"/>
        </w:rPr>
      </w:pPr>
      <w:r>
        <w:rPr>
          <w:rFonts w:hint="eastAsia" w:ascii="宋体" w:hAnsi="宋体" w:cs="仿宋_GB2312"/>
          <w:b/>
          <w:szCs w:val="21"/>
        </w:rPr>
        <w:t>2.7.1演练内容</w:t>
      </w:r>
    </w:p>
    <w:p w14:paraId="55EC3CE4">
      <w:pPr>
        <w:tabs>
          <w:tab w:val="left" w:pos="510"/>
          <w:tab w:val="left" w:pos="540"/>
        </w:tabs>
        <w:adjustRightInd w:val="0"/>
        <w:spacing w:line="360" w:lineRule="auto"/>
        <w:ind w:firstLine="420" w:firstLineChars="200"/>
      </w:pPr>
      <w:r>
        <w:rPr>
          <w:rFonts w:hint="eastAsia"/>
        </w:rPr>
        <w:t>演练内容为钓鱼邮件的网络安全演练。</w:t>
      </w:r>
    </w:p>
    <w:p w14:paraId="0E1596D8">
      <w:pPr>
        <w:tabs>
          <w:tab w:val="left" w:pos="510"/>
          <w:tab w:val="left" w:pos="540"/>
          <w:tab w:val="center" w:pos="4677"/>
        </w:tabs>
        <w:adjustRightInd w:val="0"/>
        <w:spacing w:line="360" w:lineRule="auto"/>
        <w:ind w:left="420" w:leftChars="200"/>
        <w:rPr>
          <w:rFonts w:hint="eastAsia" w:ascii="宋体" w:hAnsi="宋体" w:cs="仿宋_GB2312"/>
          <w:b/>
          <w:szCs w:val="28"/>
        </w:rPr>
      </w:pPr>
      <w:bookmarkStart w:id="110" w:name="_Toc836"/>
      <w:bookmarkStart w:id="111" w:name="_Toc15154"/>
      <w:bookmarkStart w:id="112" w:name="_Toc20673"/>
      <w:bookmarkStart w:id="113" w:name="_Toc3480"/>
      <w:r>
        <w:rPr>
          <w:rFonts w:hint="eastAsia" w:ascii="宋体" w:hAnsi="宋体" w:cs="仿宋_GB2312"/>
          <w:b/>
          <w:szCs w:val="28"/>
        </w:rPr>
        <w:t>2.7.2演练涉及</w:t>
      </w:r>
      <w:bookmarkEnd w:id="110"/>
      <w:bookmarkEnd w:id="111"/>
      <w:bookmarkEnd w:id="112"/>
      <w:bookmarkEnd w:id="113"/>
      <w:r>
        <w:rPr>
          <w:rFonts w:hint="eastAsia" w:ascii="宋体" w:hAnsi="宋体" w:cs="仿宋_GB2312"/>
          <w:b/>
          <w:szCs w:val="28"/>
        </w:rPr>
        <w:t>人员及要求</w:t>
      </w:r>
      <w:r>
        <w:rPr>
          <w:rFonts w:hint="eastAsia" w:ascii="宋体" w:hAnsi="宋体" w:cs="仿宋_GB2312"/>
          <w:b/>
          <w:szCs w:val="28"/>
        </w:rPr>
        <w:tab/>
      </w:r>
    </w:p>
    <w:p w14:paraId="611B0A40">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（1）参与部门</w:t>
      </w:r>
      <w:r>
        <w:rPr>
          <w:rFonts w:ascii="宋体" w:hAnsi="宋体"/>
        </w:rPr>
        <w:t>及</w:t>
      </w:r>
      <w:r>
        <w:rPr>
          <w:rFonts w:hint="eastAsia" w:ascii="宋体" w:hAnsi="宋体"/>
        </w:rPr>
        <w:t>演练人员</w:t>
      </w:r>
    </w:p>
    <w:p w14:paraId="4CA274C3">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信息中心领导、应急现场负责人、应急演练主持人、安全负责人、网络负责人、运维负责人、网络管理员、安全服务人员、安全服务商支持工程师、系统管理员。具体人员名单最终以采购人确认为准。</w:t>
      </w:r>
    </w:p>
    <w:p w14:paraId="4599CEA7">
      <w:pPr>
        <w:tabs>
          <w:tab w:val="left" w:pos="510"/>
          <w:tab w:val="left" w:pos="540"/>
        </w:tabs>
        <w:adjustRightInd w:val="0"/>
        <w:spacing w:line="360" w:lineRule="auto"/>
        <w:ind w:firstLine="420" w:firstLineChars="200"/>
        <w:rPr>
          <w:rFonts w:hint="eastAsia" w:ascii="宋体" w:hAnsi="宋体"/>
        </w:rPr>
      </w:pPr>
      <w:r>
        <w:rPr>
          <w:rFonts w:ascii="宋体" w:hAnsi="宋体"/>
        </w:rPr>
        <w:tab/>
      </w:r>
      <w:r>
        <w:rPr>
          <w:rFonts w:hint="eastAsia" w:ascii="宋体" w:hAnsi="宋体"/>
        </w:rPr>
        <w:t>（2）</w:t>
      </w:r>
      <w:r>
        <w:rPr>
          <w:rFonts w:hint="eastAsia"/>
        </w:rPr>
        <w:t>组织体系结构</w:t>
      </w:r>
    </w:p>
    <w:p w14:paraId="1E5B249D">
      <w:pPr>
        <w:tabs>
          <w:tab w:val="left" w:pos="510"/>
          <w:tab w:val="left" w:pos="540"/>
        </w:tabs>
        <w:adjustRightInd w:val="0"/>
        <w:spacing w:line="360" w:lineRule="auto"/>
        <w:ind w:firstLine="420" w:firstLineChars="200"/>
        <w:rPr>
          <w:rFonts w:hint="eastAsia"/>
        </w:rPr>
      </w:pPr>
      <w:r>
        <w:rPr>
          <w:rFonts w:hint="eastAsia"/>
        </w:rPr>
        <w:t>由中标人根据应急响应的对象和应急响应预案自行设定。</w:t>
      </w:r>
    </w:p>
    <w:p w14:paraId="19BD57AB">
      <w:pPr>
        <w:tabs>
          <w:tab w:val="left" w:pos="510"/>
          <w:tab w:val="left" w:pos="540"/>
        </w:tabs>
        <w:adjustRightInd w:val="0"/>
        <w:spacing w:line="360" w:lineRule="auto"/>
        <w:ind w:firstLine="420" w:firstLineChars="200"/>
        <w:rPr>
          <w:rFonts w:hint="eastAsia"/>
        </w:rPr>
      </w:pPr>
      <w:r>
        <w:rPr>
          <w:rFonts w:hint="eastAsia" w:ascii="宋体" w:hAnsi="宋体"/>
        </w:rPr>
        <w:t>（3）</w:t>
      </w:r>
      <w:bookmarkStart w:id="114" w:name="_Toc1991"/>
      <w:bookmarkStart w:id="115" w:name="_Toc19399"/>
      <w:bookmarkStart w:id="116" w:name="_Toc18554"/>
      <w:bookmarkStart w:id="117" w:name="_Toc3749"/>
      <w:r>
        <w:rPr>
          <w:rFonts w:hint="eastAsia"/>
        </w:rPr>
        <w:t>演练时间安排</w:t>
      </w:r>
      <w:bookmarkEnd w:id="114"/>
      <w:bookmarkEnd w:id="115"/>
      <w:bookmarkEnd w:id="116"/>
      <w:bookmarkEnd w:id="117"/>
    </w:p>
    <w:p w14:paraId="6149D5AF">
      <w:pPr>
        <w:tabs>
          <w:tab w:val="left" w:pos="510"/>
          <w:tab w:val="left" w:pos="540"/>
        </w:tabs>
        <w:adjustRightInd w:val="0"/>
        <w:spacing w:line="360" w:lineRule="auto"/>
        <w:ind w:firstLine="420" w:firstLineChars="200"/>
        <w:rPr>
          <w:rFonts w:hint="eastAsia"/>
        </w:rPr>
      </w:pPr>
      <w:r>
        <w:rPr>
          <w:rFonts w:hint="eastAsia"/>
        </w:rPr>
        <w:t>以采购人通知为准。演练前，中标人应制定好相关演练方案并经采购人审核确认。</w:t>
      </w:r>
    </w:p>
    <w:p w14:paraId="2515246A">
      <w:pPr>
        <w:tabs>
          <w:tab w:val="left" w:pos="510"/>
          <w:tab w:val="left" w:pos="540"/>
        </w:tabs>
        <w:adjustRightInd w:val="0"/>
        <w:spacing w:line="360" w:lineRule="auto"/>
        <w:ind w:left="420" w:leftChars="200"/>
        <w:rPr>
          <w:rFonts w:hint="eastAsia" w:ascii="宋体" w:hAnsi="宋体" w:cs="仿宋_GB2312"/>
          <w:b/>
          <w:szCs w:val="28"/>
        </w:rPr>
      </w:pPr>
      <w:bookmarkStart w:id="118" w:name="_Toc21030"/>
      <w:bookmarkStart w:id="119" w:name="_Toc4248"/>
      <w:bookmarkStart w:id="120" w:name="_Toc28995"/>
      <w:bookmarkStart w:id="121" w:name="_Toc21733"/>
      <w:r>
        <w:rPr>
          <w:rFonts w:hint="eastAsia" w:ascii="宋体" w:hAnsi="宋体" w:cs="仿宋_GB2312"/>
          <w:b/>
          <w:szCs w:val="28"/>
        </w:rPr>
        <w:t>2.7.3应急演练服务交付物</w:t>
      </w:r>
      <w:bookmarkEnd w:id="118"/>
      <w:bookmarkEnd w:id="119"/>
      <w:bookmarkEnd w:id="120"/>
      <w:bookmarkEnd w:id="121"/>
    </w:p>
    <w:p w14:paraId="0CFEEFC9">
      <w:pPr>
        <w:tabs>
          <w:tab w:val="left" w:pos="510"/>
          <w:tab w:val="left" w:pos="540"/>
        </w:tabs>
        <w:adjustRightInd w:val="0"/>
        <w:spacing w:line="360" w:lineRule="auto"/>
        <w:ind w:firstLine="420" w:firstLineChars="200"/>
        <w:rPr>
          <w:rFonts w:ascii="宋体" w:hAnsi="宋体"/>
        </w:rPr>
      </w:pPr>
      <w:r>
        <w:rPr>
          <w:rFonts w:hint="eastAsia" w:ascii="宋体" w:hAnsi="宋体"/>
        </w:rPr>
        <w:t>《应急演练方案》</w:t>
      </w:r>
    </w:p>
    <w:p w14:paraId="7C8FA653">
      <w:pPr>
        <w:tabs>
          <w:tab w:val="left" w:pos="510"/>
          <w:tab w:val="left" w:pos="540"/>
        </w:tabs>
        <w:adjustRightInd w:val="0"/>
        <w:spacing w:line="360" w:lineRule="auto"/>
        <w:ind w:firstLine="420" w:firstLineChars="200"/>
      </w:pPr>
      <w:r>
        <w:rPr>
          <w:rFonts w:hint="eastAsia" w:ascii="宋体" w:hAnsi="宋体"/>
        </w:rPr>
        <w:t>《应急演练总结报告》</w:t>
      </w:r>
    </w:p>
    <w:p w14:paraId="006F352B">
      <w:pPr>
        <w:tabs>
          <w:tab w:val="left" w:pos="510"/>
          <w:tab w:val="left" w:pos="540"/>
          <w:tab w:val="left" w:pos="709"/>
        </w:tabs>
        <w:adjustRightInd w:val="0"/>
        <w:spacing w:line="360" w:lineRule="auto"/>
        <w:ind w:left="420" w:leftChars="200"/>
        <w:rPr>
          <w:rFonts w:hint="eastAsia" w:ascii="宋体" w:hAnsi="宋体"/>
          <w:b/>
          <w:szCs w:val="21"/>
        </w:rPr>
      </w:pPr>
      <w:bookmarkStart w:id="122" w:name="_Toc13014"/>
      <w:bookmarkStart w:id="123" w:name="_Toc5357"/>
      <w:bookmarkStart w:id="124" w:name="_Toc24962"/>
      <w:bookmarkStart w:id="125" w:name="_Toc19651"/>
      <w:r>
        <w:rPr>
          <w:rFonts w:hint="eastAsia" w:ascii="宋体" w:hAnsi="宋体"/>
          <w:b/>
          <w:szCs w:val="21"/>
        </w:rPr>
        <w:t>2.8.漏洞扫描服务</w:t>
      </w:r>
      <w:bookmarkEnd w:id="122"/>
      <w:bookmarkEnd w:id="123"/>
      <w:bookmarkEnd w:id="124"/>
      <w:bookmarkEnd w:id="125"/>
    </w:p>
    <w:p w14:paraId="61E3B47A">
      <w:pPr>
        <w:tabs>
          <w:tab w:val="left" w:pos="510"/>
          <w:tab w:val="left" w:pos="540"/>
          <w:tab w:val="left" w:pos="993"/>
        </w:tabs>
        <w:adjustRightInd w:val="0"/>
        <w:spacing w:line="360" w:lineRule="auto"/>
        <w:ind w:left="420" w:leftChars="200"/>
        <w:rPr>
          <w:rFonts w:hint="eastAsia" w:ascii="宋体" w:hAnsi="宋体" w:cs="仿宋_GB2312"/>
          <w:b/>
          <w:szCs w:val="21"/>
        </w:rPr>
      </w:pPr>
      <w:bookmarkStart w:id="126" w:name="_Toc8137"/>
      <w:bookmarkStart w:id="127" w:name="_Toc5286"/>
      <w:bookmarkStart w:id="128" w:name="_Toc13475"/>
      <w:bookmarkStart w:id="129" w:name="_Toc1698"/>
      <w:r>
        <w:rPr>
          <w:rFonts w:hint="eastAsia" w:ascii="宋体" w:hAnsi="宋体" w:cs="仿宋_GB2312"/>
          <w:b/>
          <w:szCs w:val="21"/>
        </w:rPr>
        <w:t>2.8.1服务内容</w:t>
      </w:r>
      <w:bookmarkEnd w:id="126"/>
      <w:bookmarkEnd w:id="127"/>
      <w:bookmarkEnd w:id="128"/>
      <w:bookmarkEnd w:id="129"/>
    </w:p>
    <w:p w14:paraId="392D96D3">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将采购人每月抽取的系统作为目标系统进行漏洞扫描，根据已有的安全漏洞知识库，检测网络协议、网络服务、网络设备、应用系统等各种信息资产所存在的安全隐患和漏洞采用工具进行扫描。</w:t>
      </w:r>
    </w:p>
    <w:p w14:paraId="34B23120">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利用安全扫描工具扫描网络中心的核心服务器及重要的网络设备，包括服务器、交换机、路由器等，以对信息系统进行安全漏洞检测和分析，对识别出的能被入侵者利用来非法进入服务器或者非法获取信息资产的漏洞或脆弱性执行记录，并提醒安全管理员，及时完善安全策略，降低安全风险。</w:t>
      </w:r>
    </w:p>
    <w:p w14:paraId="1CFD09CE">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中标人需根据采购人指定的信息资产范围，执行专业的脆弱性扫描，并整理扫描结果，形成《信息系统漏洞扫描报告》。报告对各种扫描过程中发现的系统脆弱性做出详细的说明，以及从脆弱性可能引发的安全隐患或者安全事件，并提供基本的修补建议，并协助采购人的系统负责人对相关漏洞、脆弱点进行处理。</w:t>
      </w:r>
    </w:p>
    <w:p w14:paraId="567EB39F">
      <w:pPr>
        <w:tabs>
          <w:tab w:val="left" w:pos="510"/>
          <w:tab w:val="left" w:pos="540"/>
        </w:tabs>
        <w:adjustRightInd w:val="0"/>
        <w:spacing w:line="360" w:lineRule="auto"/>
        <w:ind w:firstLine="420" w:firstLineChars="200"/>
        <w:rPr>
          <w:rFonts w:ascii="宋体" w:hAnsi="宋体"/>
        </w:rPr>
      </w:pPr>
      <w:r>
        <w:rPr>
          <w:rFonts w:ascii="宋体" w:hAnsi="宋体"/>
        </w:rPr>
        <w:t>每月</w:t>
      </w:r>
      <w:r>
        <w:rPr>
          <w:rFonts w:hint="eastAsia" w:ascii="宋体" w:hAnsi="宋体"/>
        </w:rPr>
        <w:t>提供</w:t>
      </w:r>
      <w:r>
        <w:rPr>
          <w:rFonts w:ascii="宋体" w:hAnsi="宋体"/>
        </w:rPr>
        <w:t>一次的漏洞扫描和分析服务，共12次。另外</w:t>
      </w:r>
      <w:r>
        <w:rPr>
          <w:rFonts w:hint="eastAsia" w:ascii="宋体" w:hAnsi="宋体"/>
        </w:rPr>
        <w:t>提供</w:t>
      </w:r>
      <w:r>
        <w:rPr>
          <w:rFonts w:ascii="宋体" w:hAnsi="宋体"/>
        </w:rPr>
        <w:t>2次特殊情况下的漏洞扫描服务。</w:t>
      </w:r>
    </w:p>
    <w:p w14:paraId="3AF1D359">
      <w:pPr>
        <w:tabs>
          <w:tab w:val="left" w:pos="510"/>
          <w:tab w:val="left" w:pos="540"/>
          <w:tab w:val="left" w:pos="993"/>
        </w:tabs>
        <w:adjustRightInd w:val="0"/>
        <w:spacing w:line="360" w:lineRule="auto"/>
        <w:ind w:left="420" w:leftChars="200"/>
        <w:rPr>
          <w:rFonts w:hint="eastAsia" w:ascii="宋体" w:hAnsi="宋体" w:cs="仿宋_GB2312"/>
          <w:b/>
          <w:szCs w:val="21"/>
        </w:rPr>
      </w:pPr>
      <w:r>
        <w:rPr>
          <w:rFonts w:hint="eastAsia" w:ascii="宋体" w:hAnsi="宋体" w:cs="仿宋_GB2312"/>
          <w:b/>
          <w:szCs w:val="21"/>
        </w:rPr>
        <w:t>2.8.2服务交付物</w:t>
      </w:r>
    </w:p>
    <w:p w14:paraId="404AF153">
      <w:pPr>
        <w:ind w:firstLine="420" w:firstLineChars="200"/>
        <w:rPr>
          <w:rFonts w:hint="eastAsia" w:ascii="宋体" w:hAnsi="宋体"/>
          <w:szCs w:val="21"/>
        </w:rPr>
      </w:pPr>
      <w:r>
        <w:rPr>
          <w:rFonts w:hint="eastAsia" w:ascii="宋体" w:hAnsi="宋体"/>
          <w:szCs w:val="21"/>
        </w:rPr>
        <w:t>每月交付《信息系统漏洞扫描报告》。</w:t>
      </w:r>
    </w:p>
    <w:p w14:paraId="20DD21AF">
      <w:pPr>
        <w:tabs>
          <w:tab w:val="left" w:pos="510"/>
          <w:tab w:val="left" w:pos="540"/>
          <w:tab w:val="left" w:pos="709"/>
        </w:tabs>
        <w:adjustRightInd w:val="0"/>
        <w:spacing w:line="360" w:lineRule="auto"/>
        <w:ind w:left="420" w:leftChars="200"/>
        <w:rPr>
          <w:rFonts w:hint="eastAsia" w:ascii="宋体" w:hAnsi="宋体"/>
          <w:b/>
          <w:szCs w:val="21"/>
        </w:rPr>
      </w:pPr>
      <w:bookmarkStart w:id="130" w:name="_Toc1521"/>
      <w:bookmarkStart w:id="131" w:name="_Toc20072"/>
      <w:bookmarkStart w:id="132" w:name="_Toc27960"/>
      <w:bookmarkStart w:id="133" w:name="_Toc28203"/>
      <w:r>
        <w:rPr>
          <w:rFonts w:hint="eastAsia" w:ascii="宋体" w:hAnsi="宋体"/>
          <w:b/>
          <w:szCs w:val="21"/>
        </w:rPr>
        <w:t>2.9</w:t>
      </w:r>
      <w:bookmarkEnd w:id="130"/>
      <w:bookmarkEnd w:id="131"/>
      <w:bookmarkEnd w:id="132"/>
      <w:bookmarkEnd w:id="133"/>
      <w:r>
        <w:rPr>
          <w:rFonts w:hint="eastAsia" w:ascii="宋体" w:hAnsi="宋体"/>
          <w:b/>
          <w:szCs w:val="21"/>
        </w:rPr>
        <w:t>日志审计分析溯源服务</w:t>
      </w:r>
    </w:p>
    <w:p w14:paraId="7C6E34C4">
      <w:pPr>
        <w:tabs>
          <w:tab w:val="left" w:pos="510"/>
          <w:tab w:val="left" w:pos="540"/>
          <w:tab w:val="left" w:pos="993"/>
        </w:tabs>
        <w:adjustRightInd w:val="0"/>
        <w:spacing w:line="360" w:lineRule="auto"/>
        <w:ind w:left="420" w:leftChars="200"/>
        <w:rPr>
          <w:rFonts w:hint="eastAsia" w:ascii="宋体" w:hAnsi="宋体" w:cs="仿宋_GB2312"/>
          <w:b/>
          <w:szCs w:val="21"/>
        </w:rPr>
      </w:pPr>
      <w:bookmarkStart w:id="134" w:name="_Toc19695"/>
      <w:bookmarkStart w:id="135" w:name="_Toc4953"/>
      <w:bookmarkStart w:id="136" w:name="_Toc32702"/>
      <w:bookmarkStart w:id="137" w:name="_Toc14246"/>
      <w:r>
        <w:rPr>
          <w:rFonts w:hint="eastAsia" w:ascii="宋体" w:hAnsi="宋体" w:cs="仿宋_GB2312"/>
          <w:b/>
          <w:szCs w:val="21"/>
        </w:rPr>
        <w:t>2.9.1服务内容</w:t>
      </w:r>
      <w:bookmarkEnd w:id="134"/>
      <w:bookmarkEnd w:id="135"/>
      <w:bookmarkEnd w:id="136"/>
      <w:bookmarkEnd w:id="137"/>
    </w:p>
    <w:p w14:paraId="44C2DF3C">
      <w:pPr>
        <w:tabs>
          <w:tab w:val="left" w:pos="510"/>
          <w:tab w:val="left" w:pos="540"/>
        </w:tabs>
        <w:adjustRightInd w:val="0"/>
        <w:spacing w:line="360" w:lineRule="auto"/>
        <w:ind w:firstLine="420" w:firstLineChars="200"/>
        <w:rPr>
          <w:rFonts w:ascii="宋体" w:hAnsi="宋体"/>
        </w:rPr>
      </w:pPr>
      <w:r>
        <w:rPr>
          <w:rFonts w:hint="eastAsia" w:ascii="宋体" w:hAnsi="宋体"/>
          <w:szCs w:val="21"/>
        </w:rPr>
        <w:t>通过执行日志审计</w:t>
      </w:r>
      <w:r>
        <w:rPr>
          <w:rFonts w:hint="eastAsia" w:ascii="宋体" w:hAnsi="宋体"/>
        </w:rPr>
        <w:t>服务，基于建设基于大数据技术的日志收集与分析系统，实时不间断地将采购人中来自不同厂商的安全设备、网络设备、主机、操作系统、数据库系统、用户业务系统的日志、警报等信息汇集到审计中心，并进行集中或分布式分析和存储，实现基于日志的全网综合安全审计。</w:t>
      </w:r>
    </w:p>
    <w:p w14:paraId="213B3036">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根据日志审计服务的要求，中标人提供的日志手机与分析系统需要提供日志采集、数据治理、事件分析等能力。</w:t>
      </w:r>
    </w:p>
    <w:p w14:paraId="47704643">
      <w:pPr>
        <w:tabs>
          <w:tab w:val="left" w:pos="510"/>
          <w:tab w:val="left" w:pos="540"/>
          <w:tab w:val="left" w:pos="993"/>
        </w:tabs>
        <w:adjustRightInd w:val="0"/>
        <w:spacing w:line="360" w:lineRule="auto"/>
        <w:ind w:left="420" w:leftChars="200"/>
        <w:rPr>
          <w:rFonts w:hint="eastAsia" w:ascii="宋体" w:hAnsi="宋体" w:cs="仿宋_GB2312"/>
          <w:b/>
          <w:szCs w:val="28"/>
        </w:rPr>
      </w:pPr>
      <w:r>
        <w:rPr>
          <w:rFonts w:hint="eastAsia" w:ascii="宋体" w:hAnsi="宋体" w:cs="仿宋_GB2312"/>
          <w:b/>
          <w:szCs w:val="28"/>
        </w:rPr>
        <w:t>2.9.2服务交付物</w:t>
      </w:r>
    </w:p>
    <w:p w14:paraId="63E80F7E">
      <w:pPr>
        <w:tabs>
          <w:tab w:val="left" w:pos="510"/>
          <w:tab w:val="left" w:pos="540"/>
        </w:tabs>
        <w:adjustRightInd w:val="0"/>
        <w:spacing w:line="360" w:lineRule="auto"/>
        <w:ind w:firstLine="420" w:firstLineChars="200"/>
        <w:rPr>
          <w:rFonts w:hint="eastAsia" w:ascii="宋体" w:hAnsi="宋体"/>
          <w:lang w:val="en-GB"/>
        </w:rPr>
      </w:pPr>
      <w:r>
        <w:rPr>
          <w:rFonts w:hint="eastAsia" w:ascii="宋体" w:hAnsi="宋体"/>
          <w:lang w:val="en-GB"/>
        </w:rPr>
        <w:t>提供日志审计分析或溯源报告12份，其中每月一份，预留两次突发情况的日志分析，使运维人员能对各组件做好日志审计分析溯源工作。</w:t>
      </w:r>
    </w:p>
    <w:p w14:paraId="690A2E91">
      <w:pPr>
        <w:tabs>
          <w:tab w:val="left" w:pos="510"/>
          <w:tab w:val="left" w:pos="540"/>
          <w:tab w:val="left" w:pos="709"/>
        </w:tabs>
        <w:adjustRightInd w:val="0"/>
        <w:spacing w:line="360" w:lineRule="auto"/>
        <w:ind w:left="426" w:leftChars="203"/>
        <w:rPr>
          <w:rFonts w:ascii="宋体" w:hAnsi="宋体" w:cs="仿宋_GB2312"/>
          <w:b/>
          <w:szCs w:val="21"/>
        </w:rPr>
      </w:pPr>
      <w:r>
        <w:rPr>
          <w:rFonts w:hint="eastAsia" w:ascii="宋体" w:hAnsi="宋体" w:cs="仿宋_GB2312"/>
          <w:b/>
          <w:szCs w:val="21"/>
        </w:rPr>
        <w:t>2.10服务器威胁分析服务</w:t>
      </w:r>
    </w:p>
    <w:p w14:paraId="185A1D06">
      <w:pPr>
        <w:tabs>
          <w:tab w:val="left" w:pos="510"/>
          <w:tab w:val="left" w:pos="540"/>
          <w:tab w:val="left" w:pos="993"/>
        </w:tabs>
        <w:adjustRightInd w:val="0"/>
        <w:spacing w:line="360" w:lineRule="auto"/>
        <w:ind w:left="420" w:leftChars="200"/>
        <w:rPr>
          <w:rFonts w:hint="eastAsia" w:ascii="宋体" w:hAnsi="宋体" w:cs="仿宋_GB2312"/>
          <w:b/>
          <w:szCs w:val="28"/>
        </w:rPr>
      </w:pPr>
      <w:r>
        <w:rPr>
          <w:rFonts w:hint="eastAsia" w:ascii="宋体" w:hAnsi="宋体" w:cs="仿宋_GB2312"/>
          <w:b/>
          <w:szCs w:val="28"/>
        </w:rPr>
        <w:t>2.10.1服务内容</w:t>
      </w:r>
    </w:p>
    <w:p w14:paraId="71AA9B8E">
      <w:pPr>
        <w:tabs>
          <w:tab w:val="left" w:pos="510"/>
          <w:tab w:val="left" w:pos="540"/>
        </w:tabs>
        <w:adjustRightInd w:val="0"/>
        <w:spacing w:line="360" w:lineRule="auto"/>
        <w:ind w:firstLine="420" w:firstLineChars="200"/>
        <w:rPr>
          <w:szCs w:val="21"/>
        </w:rPr>
      </w:pPr>
      <w:r>
        <w:rPr>
          <w:rFonts w:hint="eastAsia" w:ascii="宋体" w:hAnsi="宋体"/>
        </w:rPr>
        <w:t>通过实时监控数据中心四百台服务器运行状态，识别异常行为、恶意代码、漏洞利用等威胁。分析</w:t>
      </w:r>
      <w:r>
        <w:rPr>
          <w:rFonts w:hint="eastAsia" w:ascii="宋体" w:hAnsi="宋体"/>
          <w:szCs w:val="21"/>
        </w:rPr>
        <w:t>服务内容包括：威胁检测：基于行为分析和机器学习，精准识别已知和未知威胁；漏洞管理：扫描服务器漏洞，提供修复建议；入侵分析：追溯攻击源头，分析攻击路径和手法；日志分析：聚合服务器日志，深度挖掘潜在风险；响应建议：提供定制化的应急响应和加固方案。</w:t>
      </w:r>
    </w:p>
    <w:p w14:paraId="236E0DA9">
      <w:pPr>
        <w:tabs>
          <w:tab w:val="left" w:pos="510"/>
          <w:tab w:val="left" w:pos="540"/>
          <w:tab w:val="left" w:pos="993"/>
        </w:tabs>
        <w:adjustRightInd w:val="0"/>
        <w:spacing w:line="360" w:lineRule="auto"/>
        <w:ind w:left="426" w:leftChars="203"/>
        <w:rPr>
          <w:rFonts w:hint="eastAsia" w:ascii="宋体" w:hAnsi="宋体" w:cs="仿宋_GB2312"/>
          <w:b/>
          <w:szCs w:val="21"/>
        </w:rPr>
      </w:pPr>
      <w:r>
        <w:rPr>
          <w:rFonts w:hint="eastAsia" w:ascii="宋体" w:hAnsi="宋体" w:cs="仿宋_GB2312"/>
          <w:b/>
          <w:szCs w:val="21"/>
        </w:rPr>
        <w:t>2.10.2服务交付物</w:t>
      </w:r>
    </w:p>
    <w:p w14:paraId="5A516814">
      <w:pPr>
        <w:tabs>
          <w:tab w:val="left" w:pos="510"/>
          <w:tab w:val="left" w:pos="540"/>
        </w:tabs>
        <w:adjustRightInd w:val="0"/>
        <w:spacing w:line="360" w:lineRule="auto"/>
        <w:ind w:firstLine="420" w:firstLineChars="200"/>
      </w:pPr>
      <w:r>
        <w:rPr>
          <w:rFonts w:hint="eastAsia" w:ascii="宋体" w:hAnsi="宋体"/>
        </w:rPr>
        <w:t>《服务器威胁分析服务报告》，每半年1次，每学期开学前一周之前，提供一次整个数据中心四百台服务器的总的威胁分析报告。分析报告必须由原厂提供，第三方提供的无效。</w:t>
      </w:r>
    </w:p>
    <w:p w14:paraId="3D36104F">
      <w:pPr>
        <w:tabs>
          <w:tab w:val="left" w:pos="510"/>
          <w:tab w:val="left" w:pos="540"/>
          <w:tab w:val="left" w:pos="709"/>
        </w:tabs>
        <w:adjustRightInd w:val="0"/>
        <w:spacing w:line="360" w:lineRule="auto"/>
        <w:ind w:left="426" w:leftChars="203"/>
        <w:rPr>
          <w:rFonts w:ascii="宋体" w:hAnsi="宋体" w:cs="仿宋_GB2312"/>
          <w:b/>
          <w:szCs w:val="21"/>
        </w:rPr>
      </w:pPr>
      <w:r>
        <w:rPr>
          <w:rFonts w:hint="eastAsia" w:ascii="宋体" w:hAnsi="宋体" w:cs="仿宋_GB2312"/>
          <w:b/>
          <w:szCs w:val="21"/>
        </w:rPr>
        <w:t>2.11API安全分析服务</w:t>
      </w:r>
    </w:p>
    <w:p w14:paraId="503135EE">
      <w:pPr>
        <w:tabs>
          <w:tab w:val="left" w:pos="510"/>
          <w:tab w:val="left" w:pos="540"/>
          <w:tab w:val="left" w:pos="993"/>
        </w:tabs>
        <w:adjustRightInd w:val="0"/>
        <w:spacing w:line="360" w:lineRule="auto"/>
        <w:ind w:left="420" w:leftChars="200"/>
        <w:rPr>
          <w:rFonts w:ascii="宋体" w:hAnsi="宋体" w:cs="仿宋_GB2312"/>
          <w:b/>
          <w:szCs w:val="21"/>
        </w:rPr>
      </w:pPr>
      <w:r>
        <w:rPr>
          <w:rFonts w:hint="eastAsia" w:ascii="宋体" w:hAnsi="宋体" w:cs="仿宋_GB2312"/>
          <w:b/>
          <w:szCs w:val="21"/>
        </w:rPr>
        <w:t>2.11.1资产梳理服务</w:t>
      </w:r>
    </w:p>
    <w:p w14:paraId="18771B61">
      <w:pPr>
        <w:tabs>
          <w:tab w:val="left" w:pos="510"/>
          <w:tab w:val="left" w:pos="540"/>
        </w:tabs>
        <w:adjustRightInd w:val="0"/>
        <w:spacing w:line="360" w:lineRule="auto"/>
        <w:ind w:firstLine="420" w:firstLineChars="200"/>
        <w:rPr>
          <w:rFonts w:hint="eastAsia" w:ascii="宋体" w:hAnsi="宋体"/>
        </w:rPr>
      </w:pPr>
      <w:r>
        <w:rPr>
          <w:rFonts w:hint="eastAsia" w:ascii="宋体" w:hAnsi="宋体"/>
          <w:szCs w:val="21"/>
        </w:rPr>
        <w:t>资产梳理服务是对客</w:t>
      </w:r>
      <w:r>
        <w:rPr>
          <w:rFonts w:hint="eastAsia" w:ascii="宋体" w:hAnsi="宋体"/>
        </w:rPr>
        <w:t>户的数据资产进行梳理和盘点，为数据安全防护等各项工作开展提供参考依据，借助资产扫描工具进行自动化的扫描，以资产地图、资产目录等方式进行展现。</w:t>
      </w:r>
    </w:p>
    <w:p w14:paraId="1B1A274C">
      <w:pPr>
        <w:tabs>
          <w:tab w:val="left" w:pos="510"/>
          <w:tab w:val="left" w:pos="540"/>
          <w:tab w:val="left" w:pos="993"/>
        </w:tabs>
        <w:adjustRightInd w:val="0"/>
        <w:spacing w:line="360" w:lineRule="auto"/>
        <w:ind w:left="420" w:leftChars="200"/>
        <w:rPr>
          <w:rFonts w:ascii="宋体" w:hAnsi="宋体" w:cs="仿宋_GB2312"/>
          <w:b/>
          <w:szCs w:val="28"/>
        </w:rPr>
      </w:pPr>
      <w:r>
        <w:rPr>
          <w:rFonts w:hint="eastAsia" w:ascii="宋体" w:hAnsi="宋体" w:cs="仿宋_GB2312"/>
          <w:b/>
          <w:szCs w:val="28"/>
        </w:rPr>
        <w:t>2.11.2API识别与管理</w:t>
      </w:r>
    </w:p>
    <w:p w14:paraId="758C83AD">
      <w:pPr>
        <w:tabs>
          <w:tab w:val="left" w:pos="510"/>
          <w:tab w:val="left" w:pos="540"/>
        </w:tabs>
        <w:adjustRightInd w:val="0"/>
        <w:spacing w:line="360" w:lineRule="auto"/>
        <w:ind w:firstLine="420" w:firstLineChars="200"/>
        <w:rPr>
          <w:rFonts w:ascii="宋体" w:hAnsi="宋体"/>
        </w:rPr>
      </w:pPr>
      <w:r>
        <w:rPr>
          <w:rFonts w:hint="eastAsia" w:ascii="宋体" w:hAnsi="宋体"/>
        </w:rPr>
        <w:t>支持根据流量特征自动识别restful、GraphQL、websocket、MQTT、gRPC、JSON-RPC、XML-RPC的API类型，并可以提供自定义配置方式，可以通过关键特征发现预期API资产，并标记标签。</w:t>
      </w:r>
    </w:p>
    <w:p w14:paraId="6BEC2F1D">
      <w:pPr>
        <w:tabs>
          <w:tab w:val="left" w:pos="510"/>
          <w:tab w:val="left" w:pos="540"/>
        </w:tabs>
        <w:adjustRightInd w:val="0"/>
        <w:spacing w:line="360" w:lineRule="auto"/>
        <w:ind w:firstLine="420" w:firstLineChars="200"/>
        <w:rPr>
          <w:rFonts w:hint="eastAsia"/>
        </w:rPr>
      </w:pPr>
      <w:r>
        <w:rPr>
          <w:rFonts w:hint="eastAsia" w:ascii="宋体" w:hAnsi="宋体"/>
        </w:rPr>
        <w:t>支持主动标记API资产的标签和应用，并支持导入、导出及编辑API资产列表的能力，包括标签、属性等信息，同时也支持风险API资产管理能力威胁检测功能。</w:t>
      </w:r>
    </w:p>
    <w:p w14:paraId="334D6CA5">
      <w:pPr>
        <w:tabs>
          <w:tab w:val="left" w:pos="510"/>
          <w:tab w:val="left" w:pos="540"/>
          <w:tab w:val="left" w:pos="993"/>
        </w:tabs>
        <w:adjustRightInd w:val="0"/>
        <w:spacing w:line="360" w:lineRule="auto"/>
        <w:ind w:left="420" w:leftChars="200"/>
        <w:rPr>
          <w:rFonts w:ascii="宋体" w:hAnsi="宋体" w:cs="仿宋_GB2312"/>
          <w:b/>
          <w:szCs w:val="28"/>
        </w:rPr>
      </w:pPr>
      <w:r>
        <w:rPr>
          <w:rFonts w:hint="eastAsia" w:ascii="宋体" w:hAnsi="宋体" w:cs="仿宋_GB2312"/>
          <w:b/>
          <w:szCs w:val="28"/>
        </w:rPr>
        <w:t>2.11.3API安全风险检测</w:t>
      </w:r>
    </w:p>
    <w:p w14:paraId="0185ABE9">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通过系统平台和人工分析，全面识别API潜在的安全威胁。检测内容包括：漏洞利用攻击检测，API脆弱性检测，API敏感数据检测。通过全面检测，保障API安全性和业务连续性。</w:t>
      </w:r>
    </w:p>
    <w:p w14:paraId="41CA1488">
      <w:pPr>
        <w:tabs>
          <w:tab w:val="left" w:pos="510"/>
          <w:tab w:val="left" w:pos="540"/>
          <w:tab w:val="left" w:pos="993"/>
        </w:tabs>
        <w:adjustRightInd w:val="0"/>
        <w:spacing w:line="360" w:lineRule="auto"/>
        <w:ind w:left="420" w:leftChars="200"/>
        <w:rPr>
          <w:rFonts w:ascii="宋体" w:hAnsi="宋体" w:cs="仿宋_GB2312"/>
          <w:b/>
          <w:szCs w:val="28"/>
        </w:rPr>
      </w:pPr>
      <w:r>
        <w:rPr>
          <w:rFonts w:hint="eastAsia" w:ascii="宋体" w:hAnsi="宋体" w:cs="仿宋_GB2312"/>
          <w:b/>
          <w:szCs w:val="28"/>
        </w:rPr>
        <w:t>2.11.4</w:t>
      </w:r>
      <w:r>
        <w:rPr>
          <w:rFonts w:ascii="宋体" w:hAnsi="宋体" w:cs="仿宋_GB2312"/>
          <w:b/>
          <w:szCs w:val="28"/>
        </w:rPr>
        <w:t>API</w:t>
      </w:r>
      <w:r>
        <w:rPr>
          <w:rFonts w:hint="eastAsia" w:ascii="宋体" w:hAnsi="宋体" w:cs="仿宋_GB2312"/>
          <w:b/>
          <w:szCs w:val="28"/>
        </w:rPr>
        <w:t>安全分析</w:t>
      </w:r>
    </w:p>
    <w:p w14:paraId="7117357E">
      <w:pPr>
        <w:tabs>
          <w:tab w:val="left" w:pos="510"/>
          <w:tab w:val="left" w:pos="540"/>
        </w:tabs>
        <w:adjustRightInd w:val="0"/>
        <w:spacing w:line="360" w:lineRule="auto"/>
        <w:ind w:left="899" w:leftChars="200" w:hanging="479" w:hangingChars="227"/>
        <w:jc w:val="left"/>
        <w:rPr>
          <w:rFonts w:ascii="宋体" w:hAnsi="宋体"/>
          <w:b/>
        </w:rPr>
      </w:pPr>
      <w:r>
        <w:rPr>
          <w:rFonts w:hint="eastAsia" w:ascii="宋体" w:hAnsi="宋体"/>
          <w:b/>
        </w:rPr>
        <w:t>2.11.4.1异常行为分析</w:t>
      </w:r>
    </w:p>
    <w:p w14:paraId="63423B10">
      <w:pPr>
        <w:tabs>
          <w:tab w:val="left" w:pos="510"/>
          <w:tab w:val="left" w:pos="540"/>
        </w:tabs>
        <w:adjustRightInd w:val="0"/>
        <w:spacing w:line="360" w:lineRule="auto"/>
        <w:ind w:firstLine="420" w:firstLineChars="200"/>
        <w:rPr>
          <w:rFonts w:ascii="宋体" w:hAnsi="宋体"/>
        </w:rPr>
      </w:pPr>
      <w:r>
        <w:rPr>
          <w:rFonts w:hint="eastAsia" w:ascii="宋体" w:hAnsi="宋体"/>
        </w:rPr>
        <w:t>1)支持根据单个用户及用户群体日常访问地域、日常访问时间、访问来源IP建立基线的能力，并具备在此基线的基础上发现特定用户访问地址变化或者访问群体出现访问地点离群值的情况，同时产生相应的异常告警。</w:t>
      </w:r>
    </w:p>
    <w:p w14:paraId="6A5A2A91">
      <w:pPr>
        <w:tabs>
          <w:tab w:val="left" w:pos="510"/>
          <w:tab w:val="left" w:pos="540"/>
        </w:tabs>
        <w:adjustRightInd w:val="0"/>
        <w:spacing w:line="360" w:lineRule="auto"/>
        <w:ind w:firstLine="420" w:firstLineChars="200"/>
        <w:rPr>
          <w:rFonts w:ascii="宋体" w:hAnsi="宋体"/>
        </w:rPr>
      </w:pPr>
      <w:r>
        <w:rPr>
          <w:rFonts w:hint="eastAsia" w:ascii="宋体" w:hAnsi="宋体"/>
        </w:rPr>
        <w:t>2)支持针对同一会话期间访问地域发生跳变的异常行为的检测能力，并产生相应的异常告警。</w:t>
      </w:r>
    </w:p>
    <w:p w14:paraId="32AAC8BA">
      <w:pPr>
        <w:tabs>
          <w:tab w:val="left" w:pos="510"/>
          <w:tab w:val="left" w:pos="540"/>
        </w:tabs>
        <w:adjustRightInd w:val="0"/>
        <w:spacing w:line="360" w:lineRule="auto"/>
        <w:ind w:firstLine="420" w:firstLineChars="200"/>
        <w:rPr>
          <w:rFonts w:ascii="宋体" w:hAnsi="宋体"/>
        </w:rPr>
      </w:pPr>
      <w:r>
        <w:rPr>
          <w:rFonts w:hint="eastAsia" w:ascii="宋体" w:hAnsi="宋体"/>
        </w:rPr>
        <w:t>3)支持针对API请求中的帐号进行追踪，将异常请求与帐号关联以发现异常用户。</w:t>
      </w:r>
    </w:p>
    <w:p w14:paraId="6A11906F">
      <w:pPr>
        <w:tabs>
          <w:tab w:val="left" w:pos="510"/>
          <w:tab w:val="left" w:pos="540"/>
        </w:tabs>
        <w:adjustRightInd w:val="0"/>
        <w:spacing w:line="360" w:lineRule="auto"/>
        <w:ind w:firstLine="420" w:firstLineChars="200"/>
        <w:rPr>
          <w:rFonts w:ascii="宋体" w:hAnsi="宋体"/>
        </w:rPr>
      </w:pPr>
      <w:r>
        <w:rPr>
          <w:rFonts w:hint="eastAsia" w:ascii="宋体" w:hAnsi="宋体"/>
        </w:rPr>
        <w:t>4)支持针对API认证阶段的异常检测能力，包含但不限于登录接口撞库、密码暴破、用户名暴破、验证码暴破等；</w:t>
      </w:r>
    </w:p>
    <w:p w14:paraId="499631B4">
      <w:pPr>
        <w:tabs>
          <w:tab w:val="left" w:pos="510"/>
          <w:tab w:val="left" w:pos="540"/>
        </w:tabs>
        <w:adjustRightInd w:val="0"/>
        <w:spacing w:line="360" w:lineRule="auto"/>
        <w:ind w:firstLine="420" w:firstLineChars="200"/>
        <w:rPr>
          <w:rFonts w:ascii="宋体" w:hAnsi="宋体"/>
        </w:rPr>
      </w:pPr>
      <w:r>
        <w:rPr>
          <w:rFonts w:hint="eastAsia" w:ascii="宋体" w:hAnsi="宋体"/>
        </w:rPr>
        <w:t>5)支持针对对于多因子认证、密码找回等重要流程建立访问序列基线，并基于此发现流程绕过等异常行为。</w:t>
      </w:r>
    </w:p>
    <w:p w14:paraId="1D774792">
      <w:pPr>
        <w:tabs>
          <w:tab w:val="left" w:pos="510"/>
          <w:tab w:val="left" w:pos="540"/>
        </w:tabs>
        <w:adjustRightInd w:val="0"/>
        <w:spacing w:line="360" w:lineRule="auto"/>
        <w:ind w:firstLine="420" w:firstLineChars="200"/>
        <w:rPr>
          <w:rFonts w:ascii="宋体" w:hAnsi="宋体"/>
        </w:rPr>
      </w:pPr>
      <w:r>
        <w:rPr>
          <w:rFonts w:hint="eastAsia" w:ascii="宋体" w:hAnsi="宋体"/>
        </w:rPr>
        <w:t>6)支持针对基于“流程绕过行为检测技术”发现绕过登录认证过程直接访问敏感数据传输接口、重要业务接口的能力</w:t>
      </w:r>
    </w:p>
    <w:p w14:paraId="56D966FB">
      <w:pPr>
        <w:tabs>
          <w:tab w:val="left" w:pos="510"/>
          <w:tab w:val="left" w:pos="540"/>
        </w:tabs>
        <w:adjustRightInd w:val="0"/>
        <w:spacing w:line="360" w:lineRule="auto"/>
        <w:ind w:left="899" w:leftChars="200" w:hanging="479" w:hangingChars="227"/>
        <w:jc w:val="left"/>
        <w:rPr>
          <w:rFonts w:ascii="宋体" w:hAnsi="宋体"/>
          <w:b/>
        </w:rPr>
      </w:pPr>
      <w:r>
        <w:rPr>
          <w:rFonts w:hint="eastAsia" w:ascii="宋体" w:hAnsi="宋体"/>
          <w:b/>
        </w:rPr>
        <w:t>2.11.4.2攻击事件分析</w:t>
      </w:r>
    </w:p>
    <w:p w14:paraId="14B0C13C">
      <w:pPr>
        <w:tabs>
          <w:tab w:val="left" w:pos="510"/>
          <w:tab w:val="left" w:pos="540"/>
        </w:tabs>
        <w:adjustRightInd w:val="0"/>
        <w:spacing w:line="360" w:lineRule="auto"/>
        <w:ind w:firstLine="420" w:firstLineChars="200"/>
        <w:rPr>
          <w:rFonts w:ascii="宋体" w:hAnsi="宋体"/>
        </w:rPr>
      </w:pPr>
      <w:r>
        <w:rPr>
          <w:rFonts w:hint="eastAsia" w:ascii="宋体" w:hAnsi="宋体"/>
        </w:rPr>
        <w:t>攻击事件分析应支持同类型事件汇聚从而减少分析对象，提高分析人员效率；同时应支持杀伤链模型映射，使攻击手法更加清晰。支持从以下视角进行分析：</w:t>
      </w:r>
    </w:p>
    <w:p w14:paraId="65CBC739">
      <w:pPr>
        <w:tabs>
          <w:tab w:val="left" w:pos="510"/>
          <w:tab w:val="left" w:pos="540"/>
        </w:tabs>
        <w:adjustRightInd w:val="0"/>
        <w:spacing w:line="360" w:lineRule="auto"/>
        <w:ind w:firstLine="420" w:firstLineChars="200"/>
        <w:rPr>
          <w:rFonts w:ascii="宋体" w:hAnsi="宋体"/>
        </w:rPr>
      </w:pPr>
      <w:r>
        <w:rPr>
          <w:rFonts w:hint="eastAsia" w:ascii="宋体" w:hAnsi="宋体"/>
        </w:rPr>
        <w:t>1)支持以API接口作为分析对象。可以了解各类接口易遭受的攻击类型从而能够对接口进行加固。</w:t>
      </w:r>
    </w:p>
    <w:p w14:paraId="48AA3ACA">
      <w:pPr>
        <w:tabs>
          <w:tab w:val="left" w:pos="510"/>
          <w:tab w:val="left" w:pos="540"/>
        </w:tabs>
        <w:adjustRightInd w:val="0"/>
        <w:spacing w:line="360" w:lineRule="auto"/>
        <w:ind w:firstLine="420" w:firstLineChars="200"/>
        <w:rPr>
          <w:rFonts w:ascii="宋体" w:hAnsi="宋体"/>
        </w:rPr>
      </w:pPr>
      <w:r>
        <w:rPr>
          <w:rFonts w:hint="eastAsia" w:ascii="宋体" w:hAnsi="宋体"/>
        </w:rPr>
        <w:t>2)支持以攻击者作为分析对象。可以全局视角观察攻击者进攻路径及攻击手法从而能够及时封堵。</w:t>
      </w:r>
    </w:p>
    <w:p w14:paraId="1F6121B0">
      <w:pPr>
        <w:tabs>
          <w:tab w:val="left" w:pos="510"/>
          <w:tab w:val="left" w:pos="540"/>
        </w:tabs>
        <w:adjustRightInd w:val="0"/>
        <w:spacing w:line="360" w:lineRule="auto"/>
        <w:ind w:firstLine="420" w:firstLineChars="200"/>
        <w:rPr>
          <w:rFonts w:ascii="宋体" w:hAnsi="宋体"/>
        </w:rPr>
      </w:pPr>
      <w:r>
        <w:rPr>
          <w:rFonts w:hint="eastAsia" w:ascii="宋体" w:hAnsi="宋体"/>
        </w:rPr>
        <w:t>3)支持以业务应用作为分析对象。可以总括各应用遭受的攻击及受影响程度，评估应用总体安全性。</w:t>
      </w:r>
    </w:p>
    <w:p w14:paraId="166AD4AB">
      <w:pPr>
        <w:tabs>
          <w:tab w:val="left" w:pos="510"/>
          <w:tab w:val="left" w:pos="540"/>
        </w:tabs>
        <w:adjustRightInd w:val="0"/>
        <w:spacing w:line="360" w:lineRule="auto"/>
        <w:ind w:firstLine="420" w:firstLineChars="200"/>
        <w:rPr>
          <w:rFonts w:ascii="宋体" w:hAnsi="宋体"/>
        </w:rPr>
      </w:pPr>
      <w:r>
        <w:rPr>
          <w:rFonts w:hint="eastAsia" w:ascii="宋体" w:hAnsi="宋体"/>
        </w:rPr>
        <w:t>4)支持攻击事件分析，对API接口的漏洞攻击情况进行分析，识别API接口的漏洞攻击事件。</w:t>
      </w:r>
    </w:p>
    <w:p w14:paraId="5441CC11">
      <w:pPr>
        <w:tabs>
          <w:tab w:val="left" w:pos="510"/>
          <w:tab w:val="left" w:pos="540"/>
        </w:tabs>
        <w:adjustRightInd w:val="0"/>
        <w:spacing w:line="360" w:lineRule="auto"/>
        <w:ind w:firstLine="420" w:firstLineChars="200"/>
        <w:rPr>
          <w:rFonts w:ascii="宋体" w:hAnsi="宋体"/>
        </w:rPr>
      </w:pPr>
      <w:r>
        <w:rPr>
          <w:rFonts w:hint="eastAsia" w:ascii="宋体" w:hAnsi="宋体"/>
        </w:rPr>
        <w:t>5)支持API攻击事件的详细信息记录，包括但不限于请求源IP、目标API、请求方法、请求参数等信息。</w:t>
      </w:r>
    </w:p>
    <w:p w14:paraId="59723336">
      <w:pPr>
        <w:tabs>
          <w:tab w:val="left" w:pos="510"/>
          <w:tab w:val="left" w:pos="540"/>
        </w:tabs>
        <w:adjustRightInd w:val="0"/>
        <w:spacing w:line="360" w:lineRule="auto"/>
        <w:ind w:firstLine="420" w:firstLineChars="200"/>
        <w:rPr>
          <w:rFonts w:ascii="宋体" w:hAnsi="宋体"/>
        </w:rPr>
      </w:pPr>
      <w:r>
        <w:rPr>
          <w:rFonts w:hint="eastAsia" w:ascii="宋体" w:hAnsi="宋体"/>
        </w:rPr>
        <w:t>6)应对API攻击事件进行分类和威胁等级标注。</w:t>
      </w:r>
    </w:p>
    <w:p w14:paraId="186739BB">
      <w:pPr>
        <w:tabs>
          <w:tab w:val="left" w:pos="510"/>
          <w:tab w:val="left" w:pos="540"/>
        </w:tabs>
        <w:adjustRightInd w:val="0"/>
        <w:spacing w:line="360" w:lineRule="auto"/>
        <w:ind w:left="899" w:leftChars="200" w:hanging="479" w:hangingChars="227"/>
        <w:jc w:val="left"/>
        <w:rPr>
          <w:rFonts w:ascii="宋体" w:hAnsi="宋体"/>
          <w:b/>
        </w:rPr>
      </w:pPr>
      <w:r>
        <w:rPr>
          <w:rFonts w:hint="eastAsia" w:ascii="宋体" w:hAnsi="宋体"/>
          <w:b/>
        </w:rPr>
        <w:t>2.11.4.3涉敏事件分析</w:t>
      </w:r>
    </w:p>
    <w:p w14:paraId="5FD92755">
      <w:pPr>
        <w:tabs>
          <w:tab w:val="left" w:pos="510"/>
          <w:tab w:val="left" w:pos="540"/>
        </w:tabs>
        <w:adjustRightInd w:val="0"/>
        <w:spacing w:line="360" w:lineRule="auto"/>
        <w:ind w:firstLine="420" w:firstLineChars="200"/>
        <w:rPr>
          <w:rFonts w:ascii="宋体" w:hAnsi="宋体"/>
        </w:rPr>
      </w:pPr>
      <w:r>
        <w:rPr>
          <w:rFonts w:hint="eastAsia" w:ascii="宋体" w:hAnsi="宋体"/>
        </w:rPr>
        <w:t>涉敏事件分析应能够进行IP访问关联及时间轴映射以汇聚日志生成详细的访问事件，减少运维人员分析工作量。支持从以下视角进行分析：</w:t>
      </w:r>
    </w:p>
    <w:p w14:paraId="54C0C7DE">
      <w:pPr>
        <w:tabs>
          <w:tab w:val="left" w:pos="510"/>
          <w:tab w:val="left" w:pos="540"/>
        </w:tabs>
        <w:adjustRightInd w:val="0"/>
        <w:spacing w:line="360" w:lineRule="auto"/>
        <w:ind w:firstLine="420" w:firstLineChars="200"/>
        <w:rPr>
          <w:rFonts w:ascii="宋体" w:hAnsi="宋体"/>
        </w:rPr>
      </w:pPr>
      <w:r>
        <w:rPr>
          <w:rFonts w:hint="eastAsia" w:ascii="宋体" w:hAnsi="宋体"/>
        </w:rPr>
        <w:t>1)支持以API接口作为分析对象。可以清楚的了解到各接口透出的敏感数据类型，提供数据加固方案。</w:t>
      </w:r>
    </w:p>
    <w:p w14:paraId="5FBB489E">
      <w:pPr>
        <w:tabs>
          <w:tab w:val="left" w:pos="510"/>
          <w:tab w:val="left" w:pos="540"/>
        </w:tabs>
        <w:adjustRightInd w:val="0"/>
        <w:spacing w:line="360" w:lineRule="auto"/>
        <w:ind w:firstLine="420" w:firstLineChars="200"/>
        <w:rPr>
          <w:rFonts w:ascii="宋体" w:hAnsi="宋体"/>
        </w:rPr>
      </w:pPr>
      <w:r>
        <w:rPr>
          <w:rFonts w:hint="eastAsia" w:ascii="宋体" w:hAnsi="宋体"/>
        </w:rPr>
        <w:t>2)支持以访问者作为分析对象。可以清楚的了解到各访问者获取的敏感数据类型及对各接口的访问情况有助于运维人员了解数据流转过程。</w:t>
      </w:r>
    </w:p>
    <w:p w14:paraId="5FE7DB56">
      <w:pPr>
        <w:tabs>
          <w:tab w:val="left" w:pos="510"/>
          <w:tab w:val="left" w:pos="540"/>
        </w:tabs>
        <w:adjustRightInd w:val="0"/>
        <w:spacing w:line="360" w:lineRule="auto"/>
        <w:ind w:firstLine="420" w:firstLineChars="200"/>
        <w:rPr>
          <w:rFonts w:ascii="宋体" w:hAnsi="宋体"/>
        </w:rPr>
      </w:pPr>
      <w:r>
        <w:rPr>
          <w:rFonts w:hint="eastAsia" w:ascii="宋体" w:hAnsi="宋体"/>
        </w:rPr>
        <w:t>3)支持以业务应用作为分析对象。可以总览各应用相关的敏感数据类型。</w:t>
      </w:r>
    </w:p>
    <w:p w14:paraId="62E27B00">
      <w:pPr>
        <w:tabs>
          <w:tab w:val="left" w:pos="510"/>
          <w:tab w:val="left" w:pos="540"/>
        </w:tabs>
        <w:adjustRightInd w:val="0"/>
        <w:spacing w:line="360" w:lineRule="auto"/>
        <w:ind w:firstLine="420" w:firstLineChars="200"/>
        <w:rPr>
          <w:rFonts w:ascii="宋体" w:hAnsi="宋体"/>
        </w:rPr>
      </w:pPr>
      <w:r>
        <w:rPr>
          <w:rFonts w:hint="eastAsia" w:ascii="宋体" w:hAnsi="宋体"/>
        </w:rPr>
        <w:t>4)支持敏感事件分析，对API接口的请求和响应内的敏感数据访问情况进行分析，识别API接口的涉敏事件。</w:t>
      </w:r>
    </w:p>
    <w:p w14:paraId="16FDE647">
      <w:pPr>
        <w:tabs>
          <w:tab w:val="left" w:pos="510"/>
          <w:tab w:val="left" w:pos="540"/>
        </w:tabs>
        <w:adjustRightInd w:val="0"/>
        <w:spacing w:line="360" w:lineRule="auto"/>
        <w:ind w:firstLine="420" w:firstLineChars="200"/>
        <w:rPr>
          <w:rFonts w:ascii="宋体" w:hAnsi="宋体"/>
        </w:rPr>
      </w:pPr>
      <w:r>
        <w:rPr>
          <w:rFonts w:hint="eastAsia" w:ascii="宋体" w:hAnsi="宋体"/>
        </w:rPr>
        <w:t>5)支持API涉敏事件的详细信息记录，包括但不限于请求源IP、目标API、请求方法、请求参数等信息。</w:t>
      </w:r>
    </w:p>
    <w:p w14:paraId="4D77D0B6">
      <w:pPr>
        <w:tabs>
          <w:tab w:val="left" w:pos="510"/>
          <w:tab w:val="left" w:pos="540"/>
        </w:tabs>
        <w:adjustRightInd w:val="0"/>
        <w:spacing w:line="360" w:lineRule="auto"/>
        <w:ind w:firstLine="420" w:firstLineChars="200"/>
        <w:rPr>
          <w:rFonts w:ascii="宋体" w:hAnsi="宋体"/>
        </w:rPr>
      </w:pPr>
      <w:r>
        <w:rPr>
          <w:rFonts w:hint="eastAsia" w:ascii="宋体" w:hAnsi="宋体"/>
        </w:rPr>
        <w:t>6)支持确认涉敏事件中关联的敏感数据数量及内容。</w:t>
      </w:r>
    </w:p>
    <w:p w14:paraId="4F0471AF">
      <w:pPr>
        <w:tabs>
          <w:tab w:val="left" w:pos="510"/>
          <w:tab w:val="left" w:pos="540"/>
        </w:tabs>
        <w:adjustRightInd w:val="0"/>
        <w:spacing w:line="360" w:lineRule="auto"/>
        <w:ind w:firstLine="420" w:firstLineChars="200"/>
        <w:rPr>
          <w:rFonts w:hint="eastAsia"/>
        </w:rPr>
      </w:pPr>
      <w:r>
        <w:rPr>
          <w:rFonts w:hint="eastAsia" w:ascii="宋体" w:hAnsi="宋体"/>
        </w:rPr>
        <w:t>7)支持API涉敏事件信息事后溯源分析及日志研判、取证。</w:t>
      </w:r>
    </w:p>
    <w:p w14:paraId="330387B5">
      <w:pPr>
        <w:tabs>
          <w:tab w:val="left" w:pos="510"/>
          <w:tab w:val="left" w:pos="540"/>
          <w:tab w:val="left" w:pos="993"/>
        </w:tabs>
        <w:adjustRightInd w:val="0"/>
        <w:spacing w:line="360" w:lineRule="auto"/>
        <w:ind w:left="420" w:leftChars="200"/>
        <w:rPr>
          <w:rFonts w:ascii="宋体" w:hAnsi="宋体" w:cs="仿宋_GB2312"/>
          <w:b/>
          <w:szCs w:val="28"/>
        </w:rPr>
      </w:pPr>
      <w:r>
        <w:rPr>
          <w:rFonts w:hint="eastAsia" w:ascii="宋体" w:hAnsi="宋体" w:cs="仿宋_GB2312"/>
          <w:b/>
          <w:szCs w:val="28"/>
        </w:rPr>
        <w:t>2.11.5去除误报</w:t>
      </w:r>
    </w:p>
    <w:p w14:paraId="2F6383FD">
      <w:pPr>
        <w:tabs>
          <w:tab w:val="left" w:pos="510"/>
          <w:tab w:val="left" w:pos="540"/>
        </w:tabs>
        <w:adjustRightInd w:val="0"/>
        <w:spacing w:line="360" w:lineRule="auto"/>
        <w:ind w:firstLine="420" w:firstLineChars="200"/>
        <w:rPr>
          <w:rFonts w:hint="eastAsia"/>
        </w:rPr>
      </w:pPr>
      <w:r>
        <w:rPr>
          <w:rFonts w:hint="eastAsia" w:ascii="宋体" w:hAnsi="宋体"/>
        </w:rPr>
        <w:t>大量的告警中会存在误报的情况，需要在告警分析的过程中对误报日志进行去除，并且在平台中将其标记为误报。后续对误报的告警策略进行优化，以达到逐步减少误报，提高告警精度的目的。</w:t>
      </w:r>
    </w:p>
    <w:p w14:paraId="05214AAA">
      <w:pPr>
        <w:tabs>
          <w:tab w:val="left" w:pos="510"/>
          <w:tab w:val="left" w:pos="540"/>
          <w:tab w:val="left" w:pos="993"/>
        </w:tabs>
        <w:adjustRightInd w:val="0"/>
        <w:spacing w:line="360" w:lineRule="auto"/>
        <w:ind w:left="420" w:leftChars="200"/>
        <w:rPr>
          <w:rFonts w:ascii="宋体" w:hAnsi="宋体" w:cs="仿宋_GB2312"/>
          <w:b/>
          <w:szCs w:val="28"/>
        </w:rPr>
      </w:pPr>
      <w:r>
        <w:rPr>
          <w:rFonts w:hint="eastAsia" w:ascii="宋体" w:hAnsi="宋体" w:cs="仿宋_GB2312"/>
          <w:b/>
          <w:szCs w:val="28"/>
        </w:rPr>
        <w:t>2.11.6线索运营</w:t>
      </w:r>
    </w:p>
    <w:p w14:paraId="3BD07409">
      <w:pPr>
        <w:tabs>
          <w:tab w:val="left" w:pos="510"/>
          <w:tab w:val="left" w:pos="540"/>
        </w:tabs>
        <w:adjustRightInd w:val="0"/>
        <w:spacing w:line="360" w:lineRule="auto"/>
        <w:ind w:firstLine="420" w:firstLineChars="200"/>
        <w:rPr>
          <w:rFonts w:hint="eastAsia"/>
        </w:rPr>
      </w:pPr>
      <w:r>
        <w:rPr>
          <w:rFonts w:hint="eastAsia" w:ascii="宋体" w:hAnsi="宋体"/>
        </w:rPr>
        <w:t>线索运营是通过一系列系统性的操作过程，在告警日志中，将误报告警去除掉后，对有价值的告警进行进一步分析。这些线索中可能包含登录、访问、敏感数据访问、敏感数据请求等，这些内容无法直接判断为风险或者事件，还需要辅助与其相关的全量日志或上下游日志进行综合分析。</w:t>
      </w:r>
    </w:p>
    <w:p w14:paraId="5E45DFE1">
      <w:pPr>
        <w:tabs>
          <w:tab w:val="left" w:pos="510"/>
          <w:tab w:val="left" w:pos="540"/>
          <w:tab w:val="left" w:pos="993"/>
        </w:tabs>
        <w:adjustRightInd w:val="0"/>
        <w:spacing w:line="360" w:lineRule="auto"/>
        <w:ind w:left="420" w:leftChars="200"/>
        <w:rPr>
          <w:rFonts w:ascii="宋体" w:hAnsi="宋体" w:cs="仿宋_GB2312"/>
          <w:b/>
          <w:szCs w:val="28"/>
        </w:rPr>
      </w:pPr>
      <w:r>
        <w:rPr>
          <w:rFonts w:hint="eastAsia" w:ascii="宋体" w:hAnsi="宋体" w:cs="仿宋_GB2312"/>
          <w:b/>
          <w:szCs w:val="28"/>
        </w:rPr>
        <w:t>2.11.7线索核实与验证</w:t>
      </w:r>
    </w:p>
    <w:p w14:paraId="467B4F2D">
      <w:pPr>
        <w:tabs>
          <w:tab w:val="left" w:pos="510"/>
          <w:tab w:val="left" w:pos="540"/>
        </w:tabs>
        <w:adjustRightInd w:val="0"/>
        <w:spacing w:line="360" w:lineRule="auto"/>
        <w:ind w:firstLine="420" w:firstLineChars="200"/>
        <w:rPr>
          <w:rFonts w:ascii="宋体" w:hAnsi="宋体"/>
        </w:rPr>
      </w:pPr>
      <w:r>
        <w:rPr>
          <w:rFonts w:hint="eastAsia" w:ascii="宋体" w:hAnsi="宋体"/>
        </w:rPr>
        <w:t>该过程是将运营出的有价值线索进行核实与验证，以便转化为具体的数据安全事件或风险，并进行处置闭环。此阶段分为两部分：</w:t>
      </w:r>
    </w:p>
    <w:p w14:paraId="075044A9">
      <w:pPr>
        <w:tabs>
          <w:tab w:val="left" w:pos="510"/>
          <w:tab w:val="left" w:pos="540"/>
        </w:tabs>
        <w:adjustRightInd w:val="0"/>
        <w:spacing w:line="360" w:lineRule="auto"/>
        <w:ind w:firstLine="420" w:firstLineChars="200"/>
        <w:rPr>
          <w:rFonts w:ascii="宋体" w:hAnsi="宋体"/>
        </w:rPr>
      </w:pPr>
      <w:r>
        <w:rPr>
          <w:rFonts w:hint="eastAsia" w:ascii="宋体" w:hAnsi="宋体"/>
        </w:rPr>
        <w:t>线索核实与事件转化：按照数据安全运营工作流程召集安全部门、业务部门、涉及人员等将完整的告警与相关日志的分析结果进行阐述，由所涉及的部门、人员进行说明涉及到操作行为的必要性，如经过讨论此类事件为必要操作，则经过安全部门批注，优化监测规则。如此类事件为非必要操作，则定性为数据安全事件，并依照客户侧数据安全相关要求以及影响范围，定义数据安全事件等级并通报。</w:t>
      </w:r>
    </w:p>
    <w:p w14:paraId="621317DA">
      <w:pPr>
        <w:tabs>
          <w:tab w:val="left" w:pos="510"/>
          <w:tab w:val="left" w:pos="540"/>
        </w:tabs>
        <w:adjustRightInd w:val="0"/>
        <w:spacing w:line="360" w:lineRule="auto"/>
        <w:ind w:firstLine="420" w:firstLineChars="200"/>
        <w:rPr>
          <w:rFonts w:hint="eastAsia"/>
        </w:rPr>
      </w:pPr>
      <w:r>
        <w:rPr>
          <w:rFonts w:hint="eastAsia" w:ascii="宋体" w:hAnsi="宋体"/>
        </w:rPr>
        <w:t>线索验证与风险转化：按照数据安全运营流程，经客户相关部门批准，采用技术手段与工具对发现的问题进行验证，如通过验证则转化成风险，并将该风险提交给相关部门，按照数据安全管理流程进行风险修复工作，同时将该风险提交给相关部门让客户对全公司内的相关资源进行全面检查，并在真改后进行持续性监测，确保风险被有效修复。如通过验证发现为误报，则经过审批后将线索闭环，并优化监测策略。</w:t>
      </w:r>
    </w:p>
    <w:p w14:paraId="1E446446">
      <w:pPr>
        <w:tabs>
          <w:tab w:val="left" w:pos="510"/>
          <w:tab w:val="left" w:pos="540"/>
          <w:tab w:val="left" w:pos="993"/>
        </w:tabs>
        <w:adjustRightInd w:val="0"/>
        <w:spacing w:line="360" w:lineRule="auto"/>
        <w:ind w:left="420" w:leftChars="200"/>
        <w:rPr>
          <w:rFonts w:ascii="宋体" w:hAnsi="宋体" w:cs="仿宋_GB2312"/>
          <w:b/>
          <w:szCs w:val="28"/>
        </w:rPr>
      </w:pPr>
      <w:r>
        <w:rPr>
          <w:rFonts w:hint="eastAsia" w:ascii="宋体" w:hAnsi="宋体" w:cs="仿宋_GB2312"/>
          <w:b/>
          <w:szCs w:val="28"/>
        </w:rPr>
        <w:t>2.11.8API安全分析报告</w:t>
      </w:r>
    </w:p>
    <w:p w14:paraId="71704F7A">
      <w:pPr>
        <w:tabs>
          <w:tab w:val="left" w:pos="510"/>
          <w:tab w:val="left" w:pos="540"/>
        </w:tabs>
        <w:adjustRightInd w:val="0"/>
        <w:spacing w:line="360" w:lineRule="auto"/>
        <w:ind w:firstLine="420" w:firstLineChars="200"/>
        <w:rPr>
          <w:rFonts w:ascii="宋体" w:hAnsi="宋体"/>
        </w:rPr>
      </w:pPr>
      <w:r>
        <w:rPr>
          <w:rFonts w:hint="eastAsia" w:ascii="宋体" w:hAnsi="宋体"/>
        </w:rPr>
        <w:t>API安全分析报告作为数据安全服务的重要组成部分，以可量化的指标进行阶段性的总结与分析，报告中包含：</w:t>
      </w:r>
    </w:p>
    <w:p w14:paraId="741552C0">
      <w:pPr>
        <w:tabs>
          <w:tab w:val="left" w:pos="510"/>
          <w:tab w:val="left" w:pos="540"/>
        </w:tabs>
        <w:adjustRightInd w:val="0"/>
        <w:spacing w:line="360" w:lineRule="auto"/>
        <w:ind w:firstLine="420" w:firstLineChars="200"/>
        <w:rPr>
          <w:rFonts w:ascii="宋体" w:hAnsi="宋体"/>
        </w:rPr>
      </w:pPr>
      <w:r>
        <w:rPr>
          <w:rFonts w:hint="eastAsia" w:ascii="宋体" w:hAnsi="宋体"/>
        </w:rPr>
        <w:t>资产梳理服务情况总结；对各类数据资产的扫描、梳理进度等进行综合统计总结；</w:t>
      </w:r>
    </w:p>
    <w:p w14:paraId="54788B05">
      <w:pPr>
        <w:tabs>
          <w:tab w:val="left" w:pos="510"/>
          <w:tab w:val="left" w:pos="540"/>
        </w:tabs>
        <w:adjustRightInd w:val="0"/>
        <w:spacing w:line="360" w:lineRule="auto"/>
        <w:ind w:firstLine="420" w:firstLineChars="200"/>
        <w:rPr>
          <w:rFonts w:ascii="宋体" w:hAnsi="宋体"/>
        </w:rPr>
      </w:pPr>
      <w:r>
        <w:rPr>
          <w:rFonts w:hint="eastAsia" w:ascii="宋体" w:hAnsi="宋体"/>
        </w:rPr>
        <w:t>数据安全风险情况总结；对发生的安全风险、事件的相关线索、影响、处置建议、处置进度进行总结；</w:t>
      </w:r>
    </w:p>
    <w:p w14:paraId="74908F7C">
      <w:pPr>
        <w:tabs>
          <w:tab w:val="left" w:pos="510"/>
          <w:tab w:val="left" w:pos="540"/>
        </w:tabs>
        <w:adjustRightInd w:val="0"/>
        <w:spacing w:line="360" w:lineRule="auto"/>
        <w:ind w:firstLine="420" w:firstLineChars="200"/>
        <w:rPr>
          <w:rFonts w:ascii="宋体" w:hAnsi="宋体"/>
        </w:rPr>
      </w:pPr>
      <w:r>
        <w:rPr>
          <w:rFonts w:hint="eastAsia" w:ascii="宋体" w:hAnsi="宋体"/>
        </w:rPr>
        <w:t>下一步计划：根据本期总结及客户相关要求，对下一阶段的运营目标提出计划；</w:t>
      </w:r>
    </w:p>
    <w:p w14:paraId="6BFE9587">
      <w:pPr>
        <w:tabs>
          <w:tab w:val="left" w:pos="510"/>
          <w:tab w:val="left" w:pos="540"/>
        </w:tabs>
        <w:adjustRightInd w:val="0"/>
        <w:spacing w:line="360" w:lineRule="auto"/>
        <w:ind w:firstLine="420" w:firstLineChars="200"/>
        <w:rPr>
          <w:rFonts w:ascii="宋体" w:hAnsi="宋体"/>
        </w:rPr>
      </w:pPr>
      <w:r>
        <w:rPr>
          <w:rFonts w:hint="eastAsia" w:ascii="宋体" w:hAnsi="宋体"/>
        </w:rPr>
        <w:t>通过API安全分析报告，可以清楚的看到当前周期产出的量化情况，以及相关持续性工作的进度情况，便于进行系统性的总结，以及制定后续的数据安全运营重点内容。</w:t>
      </w:r>
    </w:p>
    <w:p w14:paraId="2B4A264A">
      <w:pPr>
        <w:tabs>
          <w:tab w:val="left" w:pos="510"/>
          <w:tab w:val="left" w:pos="540"/>
          <w:tab w:val="left" w:pos="993"/>
        </w:tabs>
        <w:adjustRightInd w:val="0"/>
        <w:spacing w:line="360" w:lineRule="auto"/>
        <w:ind w:left="420" w:leftChars="200"/>
        <w:rPr>
          <w:rFonts w:ascii="宋体" w:hAnsi="宋体" w:cs="仿宋_GB2312"/>
          <w:b/>
          <w:szCs w:val="28"/>
        </w:rPr>
      </w:pPr>
      <w:r>
        <w:rPr>
          <w:rFonts w:hint="eastAsia" w:ascii="宋体" w:hAnsi="宋体" w:cs="仿宋_GB2312"/>
          <w:b/>
          <w:szCs w:val="28"/>
        </w:rPr>
        <w:t>2.11.9服务交付物</w:t>
      </w:r>
    </w:p>
    <w:p w14:paraId="1218CA5E">
      <w:pPr>
        <w:tabs>
          <w:tab w:val="left" w:pos="510"/>
          <w:tab w:val="left" w:pos="540"/>
        </w:tabs>
        <w:adjustRightInd w:val="0"/>
        <w:spacing w:line="360" w:lineRule="auto"/>
        <w:ind w:firstLine="420" w:firstLineChars="200"/>
      </w:pPr>
      <w:r>
        <w:rPr>
          <w:rFonts w:hint="eastAsia" w:ascii="宋体" w:hAnsi="宋体"/>
        </w:rPr>
        <w:t>一年至少1次API安全分析，输出报告：《API安全分析报告》。每学期开学前一周之前，提供一次整个数据中心四百台服务器的总的威胁分析。</w:t>
      </w:r>
    </w:p>
    <w:p w14:paraId="35BE7EDD">
      <w:pPr>
        <w:tabs>
          <w:tab w:val="left" w:pos="510"/>
          <w:tab w:val="left" w:pos="540"/>
          <w:tab w:val="left" w:pos="709"/>
        </w:tabs>
        <w:adjustRightInd w:val="0"/>
        <w:spacing w:line="360" w:lineRule="auto"/>
        <w:ind w:left="426" w:leftChars="203"/>
        <w:rPr>
          <w:rFonts w:ascii="宋体" w:hAnsi="宋体" w:cs="仿宋_GB2312"/>
          <w:b/>
          <w:szCs w:val="21"/>
        </w:rPr>
      </w:pPr>
      <w:r>
        <w:rPr>
          <w:rFonts w:hint="eastAsia" w:ascii="宋体" w:hAnsi="宋体" w:cs="仿宋_GB2312"/>
          <w:b/>
          <w:szCs w:val="21"/>
        </w:rPr>
        <w:t>2.12.自动化攻击防护服务</w:t>
      </w:r>
    </w:p>
    <w:p w14:paraId="22E1DC1E">
      <w:pPr>
        <w:tabs>
          <w:tab w:val="left" w:pos="510"/>
          <w:tab w:val="left" w:pos="540"/>
          <w:tab w:val="left" w:pos="993"/>
        </w:tabs>
        <w:adjustRightInd w:val="0"/>
        <w:spacing w:line="360" w:lineRule="auto"/>
        <w:ind w:left="420" w:leftChars="200"/>
        <w:rPr>
          <w:rFonts w:ascii="宋体" w:hAnsi="宋体" w:cs="仿宋_GB2312"/>
          <w:b/>
          <w:szCs w:val="21"/>
        </w:rPr>
      </w:pPr>
      <w:r>
        <w:rPr>
          <w:rFonts w:hint="eastAsia" w:ascii="宋体" w:hAnsi="宋体" w:cs="仿宋_GB2312"/>
          <w:b/>
          <w:szCs w:val="21"/>
        </w:rPr>
        <w:t>2.12.1服务内容</w:t>
      </w:r>
    </w:p>
    <w:p w14:paraId="4101CF2A">
      <w:pPr>
        <w:tabs>
          <w:tab w:val="left" w:pos="510"/>
          <w:tab w:val="left" w:pos="540"/>
        </w:tabs>
        <w:adjustRightInd w:val="0"/>
        <w:spacing w:line="360" w:lineRule="auto"/>
        <w:ind w:firstLine="420" w:firstLineChars="200"/>
        <w:rPr>
          <w:rFonts w:ascii="宋体" w:hAnsi="宋体"/>
        </w:rPr>
      </w:pPr>
      <w:r>
        <w:rPr>
          <w:rFonts w:hint="eastAsia" w:ascii="宋体" w:hAnsi="宋体"/>
        </w:rPr>
        <w:t>提供“动态技术”支持服务，对网站进行动态安全防护，通过“动态技术”提高攻击者分析调试破解的难度。最终通过精准的人机识别能力，准确识别来访终端是否为正常合法浏览器，准确识别是否有正常人交互的行为，无规则有效防护各类自动化工具或脚本发起的攻击场景，在业务前端可以有效识别与阻断各种自动化工具的攻击行为。</w:t>
      </w:r>
    </w:p>
    <w:p w14:paraId="68FFD443">
      <w:pPr>
        <w:tabs>
          <w:tab w:val="left" w:pos="510"/>
          <w:tab w:val="left" w:pos="540"/>
          <w:tab w:val="left" w:pos="993"/>
        </w:tabs>
        <w:adjustRightInd w:val="0"/>
        <w:spacing w:line="360" w:lineRule="auto"/>
        <w:ind w:left="420" w:leftChars="200"/>
        <w:rPr>
          <w:rFonts w:ascii="宋体" w:hAnsi="宋体" w:cs="仿宋_GB2312"/>
          <w:b/>
          <w:szCs w:val="28"/>
        </w:rPr>
      </w:pPr>
      <w:r>
        <w:rPr>
          <w:rFonts w:hint="eastAsia" w:ascii="宋体" w:hAnsi="宋体" w:cs="仿宋_GB2312"/>
          <w:b/>
          <w:szCs w:val="28"/>
        </w:rPr>
        <w:t>2.12.2服务方式</w:t>
      </w:r>
    </w:p>
    <w:p w14:paraId="685C7BBA">
      <w:pPr>
        <w:tabs>
          <w:tab w:val="left" w:pos="510"/>
          <w:tab w:val="left" w:pos="540"/>
        </w:tabs>
        <w:adjustRightInd w:val="0"/>
        <w:spacing w:line="360" w:lineRule="auto"/>
        <w:ind w:firstLine="420" w:firstLineChars="200"/>
        <w:rPr>
          <w:rFonts w:ascii="宋体" w:hAnsi="宋体"/>
        </w:rPr>
      </w:pPr>
      <w:r>
        <w:rPr>
          <w:rFonts w:hint="eastAsia" w:ascii="宋体" w:hAnsi="宋体"/>
        </w:rPr>
        <w:t>提供服务期为1年的Web动态应用保护系统软件1套（支持8核CPU、32GB内存的虚拟机授权），通过将WEB应用站点加入到Web动态应用保护系统进行分析与防护，提升WEB应用站点整体安全性，防止攻击者通过各类脚本、自动化工具模拟用户访问行为或攻击WEB应用，通过自动化攻击防护服务，变被动防护为主动防护，变静态防护为动态防护。</w:t>
      </w:r>
    </w:p>
    <w:p w14:paraId="3D5CB9C0">
      <w:pPr>
        <w:tabs>
          <w:tab w:val="left" w:pos="510"/>
          <w:tab w:val="left" w:pos="540"/>
          <w:tab w:val="left" w:pos="993"/>
        </w:tabs>
        <w:adjustRightInd w:val="0"/>
        <w:spacing w:line="360" w:lineRule="auto"/>
        <w:ind w:left="420" w:leftChars="200"/>
        <w:rPr>
          <w:rFonts w:ascii="宋体" w:hAnsi="宋体" w:cs="仿宋_GB2312"/>
          <w:b/>
          <w:szCs w:val="28"/>
        </w:rPr>
      </w:pPr>
      <w:r>
        <w:rPr>
          <w:rFonts w:hint="eastAsia" w:ascii="宋体" w:hAnsi="宋体" w:cs="仿宋_GB2312"/>
          <w:b/>
          <w:szCs w:val="28"/>
        </w:rPr>
        <w:t>2.12.3服务内容</w:t>
      </w:r>
    </w:p>
    <w:p w14:paraId="798CC81D">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2.12.3.1.自动化漏洞扫描检测与拦截服务</w:t>
      </w:r>
    </w:p>
    <w:p w14:paraId="61C18762">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提供自动化漏洞扫描检测与拦截服务，无需进行规则设置，即可对各类自动化漏洞扫描攻击进行检测并及时拦截。使漏洞扫描或漏洞利用工具无法发起有效自动化扫描探测，无法发现可利用的漏洞及网页目录结构。在网站未打补丁或补丁空窗期，为网站提供有效安全防护。</w:t>
      </w:r>
    </w:p>
    <w:p w14:paraId="3BA47D5E">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2.12.3.2.▲自动化撞库、暴力破解攻击检测与拦截服务</w:t>
      </w:r>
    </w:p>
    <w:p w14:paraId="437C826C">
      <w:pPr>
        <w:tabs>
          <w:tab w:val="left" w:pos="510"/>
          <w:tab w:val="left" w:pos="540"/>
        </w:tabs>
        <w:adjustRightInd w:val="0"/>
        <w:spacing w:line="360" w:lineRule="auto"/>
        <w:ind w:firstLine="420" w:firstLineChars="200"/>
        <w:rPr>
          <w:rFonts w:ascii="宋体" w:hAnsi="宋体"/>
          <w:b/>
        </w:rPr>
      </w:pPr>
      <w:r>
        <w:rPr>
          <w:rFonts w:hint="eastAsia" w:ascii="宋体" w:hAnsi="宋体"/>
        </w:rPr>
        <w:t>提供自动化撞库、暴力破解攻击检测与拦截服务，防止黑客通过自动化程序实施登录尝试，盗取合法账号，进而获取用户信息或让用户资金蒙受巨额损失。</w:t>
      </w:r>
      <w:r>
        <w:rPr>
          <w:rFonts w:hint="eastAsia" w:cs="宋体"/>
          <w:b/>
          <w:kern w:val="0"/>
        </w:rPr>
        <w:t>（需在投标文件中提供相关数据源清单并加盖投标人公章）</w:t>
      </w:r>
    </w:p>
    <w:p w14:paraId="35AB5B19">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2.12.3.3.3.12.2.3自动化爬虫攻击检测与拦截服务</w:t>
      </w:r>
    </w:p>
    <w:p w14:paraId="66F56AD9">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提供自动化爬虫攻击检测与拦截服务，可以有效防护恶意人员使用爬虫工具或爬虫脚本程序通过前端应用批量获取数据的攻击行为。有效防止敏感信息被爬取、防止爬虫不间断的爬取，造成网络带宽拥堵，影响业务服务器性能，降低正常用户访问速度。</w:t>
      </w:r>
    </w:p>
    <w:p w14:paraId="693CCD50">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2.12.3.4.▲应用层DoS/DDoS攻击检测与拦截服务</w:t>
      </w:r>
    </w:p>
    <w:p w14:paraId="43A2787C">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与业务结合度较高的应用层DDOS攻击，一般通过工具结合调用频率实施攻击，整个攻击过程没有攻击代码，传统基于规则以及签名的防护手段难以防护此类攻击场景。</w:t>
      </w:r>
    </w:p>
    <w:p w14:paraId="47207527">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提供应用层DoS/DDoS攻击检测与拦截服务，防御攻击者针对资源消耗高的业务批量发起 CC 攻击。</w:t>
      </w:r>
      <w:r>
        <w:rPr>
          <w:rFonts w:hint="eastAsia" w:cs="宋体"/>
          <w:b/>
          <w:kern w:val="0"/>
        </w:rPr>
        <w:t>（需在投标文件中提供相关数据源清单并加盖投标人公章）</w:t>
      </w:r>
    </w:p>
    <w:p w14:paraId="40A5BEEB">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2.12.3.5.▲模拟合法操作检测与拦截服务</w:t>
      </w:r>
    </w:p>
    <w:p w14:paraId="06E4B5D8">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提供模拟合法操作检测与拦截服务，有效应对攻击者利用工具、合法身份，模拟正常人工访问的攻击行为，如通过脚本驱动webdriver后驱动浏览器运行的业务攻击场景，例如模拟合法操作的网站浏览、登录行为等。</w:t>
      </w:r>
      <w:r>
        <w:rPr>
          <w:rFonts w:hint="eastAsia" w:cs="宋体"/>
          <w:b/>
          <w:kern w:val="0"/>
        </w:rPr>
        <w:t>（需在投标文件中提供相关数据源清单并加盖投标人公章）</w:t>
      </w:r>
    </w:p>
    <w:p w14:paraId="2B8E8783">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2.12.3.6.▲Webshell攻击检测与拦截服务</w:t>
      </w:r>
    </w:p>
    <w:p w14:paraId="65C57BC5">
      <w:pPr>
        <w:tabs>
          <w:tab w:val="left" w:pos="510"/>
          <w:tab w:val="left" w:pos="540"/>
        </w:tabs>
        <w:adjustRightInd w:val="0"/>
        <w:spacing w:line="360" w:lineRule="auto"/>
        <w:ind w:firstLine="420" w:firstLineChars="200"/>
        <w:rPr>
          <w:rFonts w:hint="eastAsia" w:ascii="宋体" w:hAnsi="宋体"/>
          <w:b/>
        </w:rPr>
      </w:pPr>
      <w:r>
        <w:rPr>
          <w:rFonts w:hint="eastAsia" w:ascii="宋体" w:hAnsi="宋体"/>
        </w:rPr>
        <w:t>提供Webshell攻击检测与拦截服务，对webshell等跳板工具进行阻断，在webshell管理工具连接网站webshell时，及时拦截管理工具对后门文件的连接动作，支持对冰蝎、哥斯拉等具有动态加密通信流量功能的新型Webshell客户端进行检测与拦截。</w:t>
      </w:r>
      <w:r>
        <w:rPr>
          <w:rFonts w:hint="eastAsia" w:cs="宋体"/>
          <w:b/>
          <w:kern w:val="0"/>
        </w:rPr>
        <w:t>（需在投标文件中提供相关数据源清单并加盖投标人公章）</w:t>
      </w:r>
    </w:p>
    <w:p w14:paraId="43645A5D">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2.12.3.7.脚本攻击检测与拦截服务</w:t>
      </w:r>
    </w:p>
    <w:p w14:paraId="18FCED4F">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提供脚本攻击检测与拦截服务，可实现无规则拦截各种脚本攻击行为。</w:t>
      </w:r>
    </w:p>
    <w:p w14:paraId="3286BF42">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脚本（Script），是使用一种特定的描述性语言，依据一定的格式编写的可执行文件。通过脚本可以轻松实现日常任务自动化，同时也可以用脚本进行各类自动化攻击行为，例如脚本探测行为、脚本撞库/暴力破解攻击、脚本批量下载等行为。</w:t>
      </w:r>
    </w:p>
    <w:p w14:paraId="2E0C1F37">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2.12.3.8.▲网页反调试功能服务</w:t>
      </w:r>
    </w:p>
    <w:p w14:paraId="6FE61070">
      <w:pPr>
        <w:tabs>
          <w:tab w:val="left" w:pos="510"/>
          <w:tab w:val="left" w:pos="540"/>
        </w:tabs>
        <w:adjustRightInd w:val="0"/>
        <w:spacing w:line="360" w:lineRule="auto"/>
        <w:ind w:firstLine="420" w:firstLineChars="200"/>
        <w:rPr>
          <w:rFonts w:hint="eastAsia" w:ascii="宋体" w:hAnsi="宋体"/>
          <w:b/>
        </w:rPr>
      </w:pPr>
      <w:r>
        <w:rPr>
          <w:rFonts w:hint="eastAsia" w:ascii="宋体" w:hAnsi="宋体"/>
        </w:rPr>
        <w:t>提供网页反调试功能，能防止攻击者利用浏览器自带的开发者工具，对网页的HTML、JS代码进行调试，达到篡改、伪造数据等其他攻击目的。网页反调试功能开启后，防护的网站无法通过浏览器的开发者工具进行正常调试。</w:t>
      </w:r>
      <w:r>
        <w:rPr>
          <w:rFonts w:hint="eastAsia" w:cs="宋体"/>
          <w:b/>
          <w:kern w:val="0"/>
        </w:rPr>
        <w:t>（需在投标文件中提供相关数据源清单并加盖投标人公章）</w:t>
      </w:r>
    </w:p>
    <w:p w14:paraId="605BCB05">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2.12.3.9.全访问日志记录服务</w:t>
      </w:r>
    </w:p>
    <w:p w14:paraId="48FC5703">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提供全访问日志记录功能，全访问日志记录有别于传统安全技术只记录异常数据日志，全访问日志记录会记录所有经过动态应用保护系统的所有访问记录的请求头，包括正常请求、异常请求。全访问日志记录可更有效、全面的追踪攻击者事前、事中、事后所有的访问行为。</w:t>
      </w:r>
    </w:p>
    <w:p w14:paraId="3D839A35">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2.12.3.10.浏览器指纹功能服务</w:t>
      </w:r>
    </w:p>
    <w:p w14:paraId="2EC1099B">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提供浏览器指纹功能，为每个访问被保护网站的浏览器生成不依赖于设备特征的“唯一标识”，防止攻击者通过伪造浏览器环境、伪造令牌的方式绕过追踪，从而实现精准攻击定位，结合不同于传统防护技术的全访问记录，可以发现更隐蔽的攻击，精准追踪溯源。</w:t>
      </w:r>
    </w:p>
    <w:p w14:paraId="055EA846">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全访问记录和不依赖于设备指纹的唯一客户端标识，可发现伪造客户端和隐蔽性攻击。</w:t>
      </w:r>
    </w:p>
    <w:p w14:paraId="73B3405F">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浏览器指纹主要通过主动下发到浏览器的JS探针，采集浏览器的数百个字段，生成唯一标识请求来源的浏览器指纹。</w:t>
      </w:r>
    </w:p>
    <w:p w14:paraId="41310380">
      <w:pPr>
        <w:tabs>
          <w:tab w:val="left" w:pos="510"/>
          <w:tab w:val="left" w:pos="540"/>
        </w:tabs>
        <w:adjustRightInd w:val="0"/>
        <w:spacing w:line="360" w:lineRule="auto"/>
        <w:ind w:left="420" w:leftChars="200"/>
        <w:jc w:val="left"/>
        <w:rPr>
          <w:rFonts w:hint="eastAsia" w:ascii="宋体" w:hAnsi="宋体"/>
          <w:b/>
        </w:rPr>
      </w:pPr>
      <w:r>
        <w:rPr>
          <w:rFonts w:hint="eastAsia" w:ascii="宋体" w:hAnsi="宋体"/>
          <w:b/>
        </w:rPr>
        <w:t>2.12.3.11.多源低频攻击检测与拦截服务</w:t>
      </w:r>
    </w:p>
    <w:p w14:paraId="762F1645">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提供多源低频攻击检测与拦截服务，多源低频攻击通过IP代理池结合慢速攻击，传统技术基于规则或限频的手段，难以防护。通过规则匹配无法解决IP代理池多IP的问题，通过限频手段容易被攻击者发现频率次数，同时限频容易造成误拦截。</w:t>
      </w:r>
    </w:p>
    <w:p w14:paraId="41C53D17">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攻防对抗中封IP是最主要的防护手段之一，防守方每天在防火墙上封堵大量的IP地址：</w:t>
      </w:r>
    </w:p>
    <w:p w14:paraId="23D6B147">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（1）部分客户出现防火墙封IP地址达到了上限的情况；</w:t>
      </w:r>
    </w:p>
    <w:p w14:paraId="43365AFA">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（2）每天把从各个渠道拿到的攻击IP进行封堵，容易出现封堵IP导致业务无法正常运行的情况；</w:t>
      </w:r>
    </w:p>
    <w:p w14:paraId="4E1B4BEB">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攻击方为了绕过防守方的防护技术，通过多源低频的方式，绕过封IP、限频等防护手段。发起多源低频攻击需要通过工具进行实施，因此，需要针对采用大量代理IP进行多源低频的攻击行为进行自动化识别，并通过全访问记录、设备指纹关联、日志分析攻击链。</w:t>
      </w:r>
    </w:p>
    <w:p w14:paraId="44AF3AA1">
      <w:pPr>
        <w:tabs>
          <w:tab w:val="left" w:pos="510"/>
          <w:tab w:val="left" w:pos="540"/>
          <w:tab w:val="left" w:pos="993"/>
        </w:tabs>
        <w:adjustRightInd w:val="0"/>
        <w:spacing w:line="360" w:lineRule="auto"/>
        <w:ind w:left="420" w:leftChars="200"/>
        <w:rPr>
          <w:rFonts w:hint="eastAsia" w:ascii="宋体" w:hAnsi="宋体" w:cs="仿宋_GB2312"/>
          <w:b/>
          <w:szCs w:val="28"/>
        </w:rPr>
      </w:pPr>
      <w:r>
        <w:rPr>
          <w:rFonts w:hint="eastAsia" w:ascii="宋体" w:hAnsi="宋体" w:cs="仿宋_GB2312"/>
          <w:b/>
          <w:szCs w:val="28"/>
        </w:rPr>
        <w:t>2.12.4服务交付物</w:t>
      </w:r>
    </w:p>
    <w:p w14:paraId="653CD986">
      <w:pPr>
        <w:tabs>
          <w:tab w:val="left" w:pos="510"/>
          <w:tab w:val="left" w:pos="540"/>
        </w:tabs>
        <w:adjustRightInd w:val="0"/>
        <w:spacing w:line="360" w:lineRule="auto"/>
        <w:ind w:firstLine="420" w:firstLineChars="200"/>
      </w:pPr>
      <w:r>
        <w:rPr>
          <w:rFonts w:hint="eastAsia" w:ascii="宋体" w:hAnsi="宋体"/>
        </w:rPr>
        <w:t>提供一年6次安全分析（每个双数月结束后的第一周，提供一次报告），如果因各种攻防需要，临时增加分析服务，不再增加金额。输出报告：《动态应用保护系统安全分析报告》</w:t>
      </w:r>
    </w:p>
    <w:p w14:paraId="7D827705">
      <w:pPr>
        <w:tabs>
          <w:tab w:val="left" w:pos="510"/>
          <w:tab w:val="left" w:pos="540"/>
          <w:tab w:val="left" w:pos="709"/>
        </w:tabs>
        <w:adjustRightInd w:val="0"/>
        <w:spacing w:line="360" w:lineRule="auto"/>
        <w:ind w:left="426" w:leftChars="203"/>
        <w:rPr>
          <w:rFonts w:hint="eastAsia" w:ascii="宋体" w:hAnsi="宋体" w:cs="仿宋_GB2312"/>
          <w:b/>
          <w:szCs w:val="21"/>
        </w:rPr>
      </w:pPr>
      <w:r>
        <w:rPr>
          <w:rFonts w:hint="eastAsia" w:ascii="宋体" w:hAnsi="宋体" w:cs="仿宋_GB2312"/>
          <w:b/>
          <w:szCs w:val="21"/>
        </w:rPr>
        <w:t>2.13.其他技术要求</w:t>
      </w:r>
    </w:p>
    <w:p w14:paraId="72573B0A">
      <w:pPr>
        <w:tabs>
          <w:tab w:val="left" w:pos="510"/>
          <w:tab w:val="left" w:pos="540"/>
          <w:tab w:val="left" w:pos="993"/>
        </w:tabs>
        <w:adjustRightInd w:val="0"/>
        <w:spacing w:line="360" w:lineRule="auto"/>
        <w:ind w:left="420" w:leftChars="200"/>
        <w:rPr>
          <w:rFonts w:ascii="宋体" w:hAnsi="宋体" w:cs="仿宋_GB2312"/>
          <w:b/>
          <w:szCs w:val="21"/>
        </w:rPr>
      </w:pPr>
      <w:r>
        <w:rPr>
          <w:rFonts w:hint="eastAsia" w:ascii="宋体" w:hAnsi="宋体" w:cs="仿宋_GB2312"/>
          <w:b/>
          <w:szCs w:val="21"/>
        </w:rPr>
        <w:t>2.13.1服务工具要求</w:t>
      </w:r>
    </w:p>
    <w:p w14:paraId="73FC891D">
      <w:pPr>
        <w:ind w:left="420"/>
      </w:pPr>
      <w:r>
        <w:rPr>
          <w:rFonts w:hint="eastAsia"/>
        </w:rPr>
        <w:t>（1）态势感知与运营平台技术要求</w:t>
      </w:r>
    </w:p>
    <w:tbl>
      <w:tblPr>
        <w:tblStyle w:val="6"/>
        <w:tblW w:w="52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7540"/>
      </w:tblGrid>
      <w:tr w14:paraId="13B3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shd w:val="clear" w:color="auto" w:fill="D0CECE"/>
            <w:noWrap w:val="0"/>
            <w:vAlign w:val="center"/>
          </w:tcPr>
          <w:p w14:paraId="69179E7C">
            <w:pPr>
              <w:spacing w:line="276" w:lineRule="auto"/>
              <w:jc w:val="center"/>
              <w:rPr>
                <w:rFonts w:ascii="宋体" w:hAnsi="宋体"/>
                <w:b/>
                <w:szCs w:val="21"/>
              </w:rPr>
            </w:pPr>
            <w:r>
              <w:rPr>
                <w:rFonts w:ascii="宋体" w:hAnsi="宋体"/>
                <w:b/>
                <w:szCs w:val="21"/>
              </w:rPr>
              <w:t>技术指标</w:t>
            </w:r>
          </w:p>
        </w:tc>
        <w:tc>
          <w:tcPr>
            <w:tcW w:w="4244" w:type="pct"/>
            <w:shd w:val="clear" w:color="auto" w:fill="D0CECE"/>
            <w:noWrap w:val="0"/>
            <w:vAlign w:val="center"/>
          </w:tcPr>
          <w:p w14:paraId="4C8D04C5">
            <w:pPr>
              <w:spacing w:line="276" w:lineRule="auto"/>
              <w:jc w:val="center"/>
              <w:rPr>
                <w:rFonts w:ascii="宋体" w:hAnsi="宋体"/>
                <w:b/>
                <w:szCs w:val="21"/>
              </w:rPr>
            </w:pPr>
            <w:r>
              <w:rPr>
                <w:rFonts w:hint="eastAsia" w:ascii="宋体" w:hAnsi="宋体"/>
                <w:b/>
                <w:szCs w:val="21"/>
              </w:rPr>
              <w:t>技术参数</w:t>
            </w:r>
          </w:p>
        </w:tc>
      </w:tr>
      <w:tr w14:paraId="7A50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noWrap w:val="0"/>
            <w:vAlign w:val="center"/>
          </w:tcPr>
          <w:p w14:paraId="537FDA0E">
            <w:pPr>
              <w:spacing w:line="276" w:lineRule="auto"/>
              <w:jc w:val="center"/>
              <w:rPr>
                <w:rFonts w:ascii="宋体" w:hAnsi="宋体"/>
                <w:szCs w:val="21"/>
              </w:rPr>
            </w:pPr>
            <w:r>
              <w:rPr>
                <w:rFonts w:hint="eastAsia" w:ascii="宋体" w:hAnsi="宋体"/>
                <w:szCs w:val="21"/>
              </w:rPr>
              <w:t>硬件参数</w:t>
            </w:r>
          </w:p>
        </w:tc>
        <w:tc>
          <w:tcPr>
            <w:tcW w:w="4244" w:type="pct"/>
            <w:noWrap w:val="0"/>
            <w:vAlign w:val="center"/>
          </w:tcPr>
          <w:p w14:paraId="76CE1EF4">
            <w:pPr>
              <w:spacing w:line="276" w:lineRule="auto"/>
              <w:jc w:val="left"/>
              <w:rPr>
                <w:rFonts w:ascii="宋体" w:hAnsi="宋体"/>
                <w:szCs w:val="21"/>
              </w:rPr>
            </w:pPr>
            <w:r>
              <w:rPr>
                <w:rFonts w:hint="eastAsia" w:ascii="宋体" w:hAnsi="宋体"/>
                <w:szCs w:val="21"/>
              </w:rPr>
              <w:t>提供</w:t>
            </w:r>
            <w:r>
              <w:rPr>
                <w:rFonts w:ascii="宋体" w:hAnsi="宋体"/>
                <w:szCs w:val="21"/>
              </w:rPr>
              <w:t>一</w:t>
            </w:r>
            <w:r>
              <w:rPr>
                <w:rFonts w:hint="eastAsia" w:ascii="宋体" w:hAnsi="宋体"/>
                <w:szCs w:val="21"/>
              </w:rPr>
              <w:t>套态势感知与运营平台软件与硬件，以DB模式重新建设，形成全新的分布式集群。软件要求：包含威胁检测、分析中心、响应中心、资产中心、统计报表、仪表板、系统管理、态势感知（综合安全态势、安全运营态势、外部威胁态势、内网威胁态势、威胁预警态势、攻击者态势、资产态势、资产风险态势、脆弱性态势）等功能。</w:t>
            </w:r>
          </w:p>
          <w:p w14:paraId="5FAF4ED0">
            <w:pPr>
              <w:spacing w:line="276" w:lineRule="auto"/>
              <w:jc w:val="left"/>
              <w:rPr>
                <w:rFonts w:ascii="宋体" w:hAnsi="宋体"/>
                <w:szCs w:val="21"/>
              </w:rPr>
            </w:pPr>
            <w:r>
              <w:rPr>
                <w:rFonts w:hint="eastAsia" w:ascii="宋体" w:hAnsi="宋体"/>
                <w:szCs w:val="21"/>
              </w:rPr>
              <w:t>硬件规格：</w:t>
            </w:r>
            <w:r>
              <w:rPr>
                <w:rFonts w:ascii="宋体" w:hAnsi="宋体"/>
                <w:szCs w:val="21"/>
              </w:rPr>
              <w:t>2颗12核CPU主频2.20GHz以上</w:t>
            </w:r>
            <w:r>
              <w:rPr>
                <w:rFonts w:hint="eastAsia" w:ascii="宋体" w:hAnsi="宋体"/>
                <w:szCs w:val="21"/>
              </w:rPr>
              <w:t>，</w:t>
            </w:r>
            <w:r>
              <w:rPr>
                <w:rFonts w:ascii="宋体" w:hAnsi="宋体"/>
                <w:szCs w:val="21"/>
              </w:rPr>
              <w:t>内存</w:t>
            </w:r>
            <w:r>
              <w:rPr>
                <w:rFonts w:hint="eastAsia" w:ascii="宋体" w:hAnsi="宋体"/>
                <w:szCs w:val="21"/>
              </w:rPr>
              <w:t>≥</w:t>
            </w:r>
            <w:r>
              <w:rPr>
                <w:rFonts w:ascii="宋体" w:hAnsi="宋体"/>
                <w:szCs w:val="21"/>
              </w:rPr>
              <w:t>256GB</w:t>
            </w:r>
            <w:r>
              <w:rPr>
                <w:rFonts w:hint="eastAsia" w:ascii="宋体" w:hAnsi="宋体"/>
                <w:szCs w:val="21"/>
              </w:rPr>
              <w:t>；系统硬盘</w:t>
            </w:r>
            <w:r>
              <w:rPr>
                <w:rFonts w:ascii="宋体" w:hAnsi="宋体"/>
                <w:szCs w:val="21"/>
              </w:rPr>
              <w:t>：</w:t>
            </w:r>
            <w:r>
              <w:rPr>
                <w:rFonts w:hint="eastAsia" w:ascii="宋体" w:hAnsi="宋体"/>
                <w:szCs w:val="21"/>
              </w:rPr>
              <w:t>≥</w:t>
            </w:r>
            <w:r>
              <w:rPr>
                <w:rFonts w:ascii="宋体" w:hAnsi="宋体"/>
                <w:szCs w:val="21"/>
              </w:rPr>
              <w:t>2块960G SSD固态硬盘</w:t>
            </w:r>
            <w:r>
              <w:rPr>
                <w:rFonts w:hint="eastAsia" w:ascii="宋体" w:hAnsi="宋体"/>
                <w:szCs w:val="21"/>
              </w:rPr>
              <w:t>组成Raid 1；数据硬盘</w:t>
            </w:r>
            <w:r>
              <w:rPr>
                <w:rFonts w:ascii="宋体" w:hAnsi="宋体"/>
                <w:szCs w:val="21"/>
              </w:rPr>
              <w:t>：</w:t>
            </w:r>
            <w:r>
              <w:rPr>
                <w:rFonts w:hint="eastAsia" w:ascii="宋体" w:hAnsi="宋体"/>
                <w:szCs w:val="21"/>
              </w:rPr>
              <w:t>≥</w:t>
            </w:r>
            <w:r>
              <w:rPr>
                <w:rFonts w:ascii="宋体" w:hAnsi="宋体"/>
                <w:szCs w:val="21"/>
              </w:rPr>
              <w:t>12*4TB企业级SATA 3.5寸硬盘</w:t>
            </w:r>
            <w:r>
              <w:rPr>
                <w:rFonts w:hint="eastAsia" w:ascii="宋体" w:hAnsi="宋体"/>
                <w:szCs w:val="21"/>
              </w:rPr>
              <w:t>。</w:t>
            </w:r>
          </w:p>
        </w:tc>
      </w:tr>
      <w:tr w14:paraId="57C1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noWrap w:val="0"/>
            <w:vAlign w:val="center"/>
          </w:tcPr>
          <w:p w14:paraId="29FFC126">
            <w:pPr>
              <w:spacing w:line="276" w:lineRule="auto"/>
              <w:jc w:val="center"/>
              <w:rPr>
                <w:rFonts w:ascii="宋体" w:hAnsi="宋体"/>
                <w:szCs w:val="21"/>
              </w:rPr>
            </w:pPr>
            <w:r>
              <w:rPr>
                <w:rFonts w:hint="eastAsia" w:ascii="宋体" w:hAnsi="宋体"/>
                <w:szCs w:val="21"/>
              </w:rPr>
              <w:t>部署方式</w:t>
            </w:r>
          </w:p>
        </w:tc>
        <w:tc>
          <w:tcPr>
            <w:tcW w:w="4244" w:type="pct"/>
            <w:noWrap w:val="0"/>
            <w:vAlign w:val="center"/>
          </w:tcPr>
          <w:p w14:paraId="62B3E379">
            <w:pPr>
              <w:spacing w:line="276" w:lineRule="auto"/>
              <w:jc w:val="left"/>
              <w:rPr>
                <w:rFonts w:ascii="宋体" w:hAnsi="宋体"/>
                <w:szCs w:val="21"/>
              </w:rPr>
            </w:pPr>
            <w:r>
              <w:rPr>
                <w:rFonts w:hint="eastAsia" w:ascii="宋体" w:hAnsi="宋体"/>
                <w:szCs w:val="21"/>
              </w:rPr>
              <w:t>满足软硬一体化形态或纯软件形态部署模式；支持集群部署，可水平扩展到多台设备集群。</w:t>
            </w:r>
          </w:p>
        </w:tc>
      </w:tr>
      <w:tr w14:paraId="32B5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noWrap w:val="0"/>
            <w:vAlign w:val="center"/>
          </w:tcPr>
          <w:p w14:paraId="2DE7935C">
            <w:pPr>
              <w:spacing w:line="276" w:lineRule="auto"/>
              <w:jc w:val="center"/>
              <w:rPr>
                <w:rFonts w:ascii="宋体" w:hAnsi="宋体"/>
                <w:szCs w:val="21"/>
              </w:rPr>
            </w:pPr>
            <w:r>
              <w:rPr>
                <w:rFonts w:hint="eastAsia" w:ascii="宋体" w:hAnsi="宋体"/>
                <w:szCs w:val="21"/>
              </w:rPr>
              <w:t>处理性能</w:t>
            </w:r>
          </w:p>
        </w:tc>
        <w:tc>
          <w:tcPr>
            <w:tcW w:w="4244" w:type="pct"/>
            <w:noWrap w:val="0"/>
            <w:vAlign w:val="center"/>
          </w:tcPr>
          <w:p w14:paraId="2F7BA400">
            <w:pPr>
              <w:spacing w:line="276" w:lineRule="auto"/>
              <w:jc w:val="left"/>
              <w:rPr>
                <w:rFonts w:ascii="宋体" w:hAnsi="宋体"/>
                <w:szCs w:val="21"/>
              </w:rPr>
            </w:pPr>
            <w:r>
              <w:rPr>
                <w:rFonts w:hint="eastAsia" w:ascii="宋体" w:hAnsi="宋体"/>
                <w:szCs w:val="21"/>
              </w:rPr>
              <w:t>集群实时处理事件性能</w:t>
            </w:r>
            <w:r>
              <w:rPr>
                <w:rFonts w:ascii="宋体" w:hAnsi="宋体"/>
                <w:szCs w:val="21"/>
              </w:rPr>
              <w:t>20000EPS，支持扩展到100000EPS的处理性能能力；</w:t>
            </w:r>
          </w:p>
          <w:p w14:paraId="19D0061D">
            <w:pPr>
              <w:spacing w:line="276" w:lineRule="auto"/>
              <w:jc w:val="left"/>
              <w:rPr>
                <w:rFonts w:ascii="宋体" w:hAnsi="宋体"/>
                <w:szCs w:val="21"/>
              </w:rPr>
            </w:pPr>
            <w:r>
              <w:rPr>
                <w:rFonts w:ascii="宋体" w:hAnsi="宋体"/>
                <w:szCs w:val="21"/>
              </w:rPr>
              <w:t>支持百亿级日志秒级查询。</w:t>
            </w:r>
          </w:p>
        </w:tc>
      </w:tr>
      <w:tr w14:paraId="4E35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center"/>
          </w:tcPr>
          <w:p w14:paraId="3D3A152D">
            <w:pPr>
              <w:spacing w:line="276" w:lineRule="auto"/>
              <w:jc w:val="center"/>
              <w:rPr>
                <w:rFonts w:ascii="宋体" w:hAnsi="宋体"/>
                <w:szCs w:val="21"/>
              </w:rPr>
            </w:pPr>
            <w:r>
              <w:rPr>
                <w:rFonts w:hint="eastAsia" w:ascii="宋体" w:hAnsi="宋体"/>
                <w:szCs w:val="21"/>
              </w:rPr>
              <w:t>数据采集与存储</w:t>
            </w:r>
          </w:p>
        </w:tc>
        <w:tc>
          <w:tcPr>
            <w:tcW w:w="4244" w:type="pct"/>
            <w:noWrap w:val="0"/>
            <w:vAlign w:val="center"/>
          </w:tcPr>
          <w:p w14:paraId="4E89026A">
            <w:pPr>
              <w:spacing w:line="276" w:lineRule="auto"/>
              <w:jc w:val="left"/>
              <w:rPr>
                <w:rFonts w:ascii="宋体" w:hAnsi="宋体"/>
                <w:szCs w:val="21"/>
              </w:rPr>
            </w:pPr>
            <w:r>
              <w:rPr>
                <w:rFonts w:hint="eastAsia" w:ascii="等线" w:hAnsi="等线" w:cs="宋体"/>
                <w:szCs w:val="21"/>
              </w:rPr>
              <w:t>▲支持对网络设备、安全设备、主机系统的日志、网络流量等多种数据源的采集</w:t>
            </w:r>
            <w:r>
              <w:rPr>
                <w:rFonts w:hint="eastAsia" w:ascii="宋体" w:hAnsi="宋体" w:cs="宋体"/>
                <w:kern w:val="0"/>
                <w:szCs w:val="21"/>
              </w:rPr>
              <w:t>；默认支持接入并解析的数据源数量5</w:t>
            </w:r>
            <w:r>
              <w:rPr>
                <w:rFonts w:ascii="宋体" w:hAnsi="宋体" w:cs="宋体"/>
                <w:kern w:val="0"/>
                <w:szCs w:val="21"/>
              </w:rPr>
              <w:t>0</w:t>
            </w:r>
            <w:r>
              <w:rPr>
                <w:rFonts w:hint="eastAsia" w:ascii="宋体" w:hAnsi="宋体" w:cs="宋体"/>
                <w:kern w:val="0"/>
                <w:szCs w:val="21"/>
              </w:rPr>
              <w:t>个，支持按需扩容数据源数量</w:t>
            </w:r>
            <w:r>
              <w:rPr>
                <w:rFonts w:hint="eastAsia" w:cs="宋体"/>
                <w:b/>
                <w:kern w:val="0"/>
                <w:szCs w:val="21"/>
              </w:rPr>
              <w:t>。（需在投标文件中提供相关数据源清单并加盖投标人公章）</w:t>
            </w:r>
          </w:p>
        </w:tc>
      </w:tr>
      <w:tr w14:paraId="7398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5BEE7D82">
            <w:pPr>
              <w:spacing w:line="276" w:lineRule="auto"/>
              <w:jc w:val="center"/>
              <w:rPr>
                <w:rFonts w:ascii="宋体" w:hAnsi="宋体"/>
                <w:szCs w:val="21"/>
              </w:rPr>
            </w:pPr>
          </w:p>
        </w:tc>
        <w:tc>
          <w:tcPr>
            <w:tcW w:w="4244" w:type="pct"/>
            <w:noWrap w:val="0"/>
            <w:vAlign w:val="center"/>
          </w:tcPr>
          <w:p w14:paraId="62948ABE">
            <w:pPr>
              <w:spacing w:line="276" w:lineRule="auto"/>
              <w:jc w:val="left"/>
              <w:rPr>
                <w:rFonts w:hint="eastAsia" w:ascii="宋体" w:hAnsi="宋体" w:eastAsia="等线"/>
                <w:kern w:val="0"/>
                <w:szCs w:val="21"/>
              </w:rPr>
            </w:pPr>
            <w:r>
              <w:rPr>
                <w:rFonts w:hint="eastAsia"/>
                <w:szCs w:val="21"/>
              </w:rPr>
              <w:t>支持接入并管理日志采集器、流量采集器，可支持第三方采集器接入</w:t>
            </w:r>
          </w:p>
        </w:tc>
      </w:tr>
      <w:tr w14:paraId="6917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30CDD602">
            <w:pPr>
              <w:spacing w:line="276" w:lineRule="auto"/>
              <w:jc w:val="center"/>
              <w:rPr>
                <w:rFonts w:ascii="宋体" w:hAnsi="宋体"/>
                <w:szCs w:val="21"/>
              </w:rPr>
            </w:pPr>
          </w:p>
        </w:tc>
        <w:tc>
          <w:tcPr>
            <w:tcW w:w="4244" w:type="pct"/>
            <w:noWrap w:val="0"/>
            <w:vAlign w:val="center"/>
          </w:tcPr>
          <w:p w14:paraId="5E6610EA">
            <w:pPr>
              <w:spacing w:line="276" w:lineRule="auto"/>
              <w:jc w:val="left"/>
              <w:rPr>
                <w:szCs w:val="21"/>
              </w:rPr>
            </w:pPr>
            <w:r>
              <w:rPr>
                <w:rFonts w:hint="eastAsia" w:ascii="等线" w:hAnsi="等线" w:cs="宋体"/>
                <w:szCs w:val="21"/>
              </w:rPr>
              <w:t>▲</w:t>
            </w:r>
            <w:r>
              <w:rPr>
                <w:rFonts w:hint="eastAsia"/>
                <w:szCs w:val="21"/>
              </w:rPr>
              <w:t>支持解析规则不少于1700条；支持通过界面操作方式构建数据源解析规则，支持在平台内通过可视化方式进行样本提取操作、前置过滤操作、提取字段、验证字段操作。</w:t>
            </w:r>
            <w:r>
              <w:rPr>
                <w:rFonts w:hint="eastAsia"/>
                <w:b/>
                <w:szCs w:val="21"/>
              </w:rPr>
              <w:t>（</w:t>
            </w:r>
            <w:r>
              <w:rPr>
                <w:rFonts w:hint="eastAsia" w:cs="宋体"/>
                <w:b/>
                <w:kern w:val="0"/>
                <w:szCs w:val="21"/>
              </w:rPr>
              <w:t>需在投标文件中提供相关数据源清单并加盖投标人公章）</w:t>
            </w:r>
          </w:p>
        </w:tc>
      </w:tr>
      <w:tr w14:paraId="4C66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center"/>
          </w:tcPr>
          <w:p w14:paraId="6C2942B9">
            <w:pPr>
              <w:spacing w:line="276" w:lineRule="auto"/>
              <w:jc w:val="center"/>
              <w:rPr>
                <w:rFonts w:ascii="宋体" w:hAnsi="宋体"/>
                <w:szCs w:val="21"/>
              </w:rPr>
            </w:pPr>
            <w:r>
              <w:rPr>
                <w:rFonts w:hint="eastAsia" w:ascii="宋体" w:hAnsi="宋体"/>
                <w:szCs w:val="21"/>
              </w:rPr>
              <w:t>资产管理和风险评估</w:t>
            </w:r>
          </w:p>
        </w:tc>
        <w:tc>
          <w:tcPr>
            <w:tcW w:w="4244" w:type="pct"/>
            <w:noWrap w:val="0"/>
            <w:vAlign w:val="center"/>
          </w:tcPr>
          <w:p w14:paraId="7E75BBCF">
            <w:pPr>
              <w:spacing w:line="276" w:lineRule="auto"/>
              <w:jc w:val="left"/>
              <w:rPr>
                <w:szCs w:val="21"/>
              </w:rPr>
            </w:pPr>
            <w:r>
              <w:rPr>
                <w:rFonts w:hint="eastAsia" w:ascii="等线" w:hAnsi="等线" w:cs="宋体"/>
                <w:szCs w:val="21"/>
              </w:rPr>
              <w:t>▲</w:t>
            </w:r>
            <w:r>
              <w:rPr>
                <w:rFonts w:hint="eastAsia" w:ascii="宋体" w:hAnsi="宋体"/>
                <w:szCs w:val="21"/>
              </w:rPr>
              <w:t>支持从资产分组、组织架构、业务分组、地理位置及网段视角展示主机资产详情信息</w:t>
            </w:r>
            <w:r>
              <w:rPr>
                <w:rFonts w:hint="eastAsia" w:cs="宋体"/>
                <w:b/>
                <w:kern w:val="0"/>
                <w:szCs w:val="21"/>
              </w:rPr>
              <w:t>（需在投标文件中提供相关功能的界面截图并加盖投标人公章）</w:t>
            </w:r>
            <w:r>
              <w:rPr>
                <w:rFonts w:hint="eastAsia" w:cs="宋体"/>
                <w:kern w:val="0"/>
                <w:szCs w:val="21"/>
              </w:rPr>
              <w:t>。</w:t>
            </w:r>
          </w:p>
        </w:tc>
      </w:tr>
      <w:tr w14:paraId="235D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2A73D4E2">
            <w:pPr>
              <w:spacing w:line="276" w:lineRule="auto"/>
              <w:jc w:val="center"/>
              <w:rPr>
                <w:rFonts w:ascii="宋体" w:hAnsi="宋体"/>
                <w:szCs w:val="21"/>
              </w:rPr>
            </w:pPr>
          </w:p>
        </w:tc>
        <w:tc>
          <w:tcPr>
            <w:tcW w:w="4244" w:type="pct"/>
            <w:noWrap w:val="0"/>
            <w:vAlign w:val="center"/>
          </w:tcPr>
          <w:p w14:paraId="5F32A632">
            <w:pPr>
              <w:spacing w:line="276" w:lineRule="auto"/>
              <w:jc w:val="left"/>
              <w:rPr>
                <w:szCs w:val="21"/>
              </w:rPr>
            </w:pPr>
            <w:r>
              <w:rPr>
                <w:rFonts w:hint="eastAsia" w:ascii="等线" w:hAnsi="等线" w:cs="宋体"/>
                <w:szCs w:val="21"/>
              </w:rPr>
              <w:t>▲</w:t>
            </w:r>
            <w:r>
              <w:rPr>
                <w:rFonts w:hint="eastAsia" w:ascii="宋体" w:hAnsi="宋体"/>
                <w:szCs w:val="21"/>
              </w:rPr>
              <w:t>支持资产服务信息管理，支持对服务的</w:t>
            </w:r>
            <w:r>
              <w:rPr>
                <w:rFonts w:ascii="宋体" w:hAnsi="宋体"/>
                <w:szCs w:val="21"/>
              </w:rPr>
              <w:t>IP地址、端口号、服务名、服务版本、协议、Banner等服务属性进行管理，支持对IPV6资产的管理</w:t>
            </w:r>
            <w:r>
              <w:rPr>
                <w:rFonts w:hint="eastAsia" w:ascii="宋体" w:hAnsi="宋体"/>
                <w:szCs w:val="21"/>
              </w:rPr>
              <w:t>。</w:t>
            </w:r>
            <w:r>
              <w:rPr>
                <w:rFonts w:hint="eastAsia" w:cs="宋体"/>
                <w:b/>
                <w:kern w:val="0"/>
                <w:szCs w:val="21"/>
              </w:rPr>
              <w:t>（需在投标文件中提供相关功能的界面截图并加盖投标人公章）</w:t>
            </w:r>
          </w:p>
        </w:tc>
      </w:tr>
      <w:tr w14:paraId="6A5B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0C6585F4">
            <w:pPr>
              <w:spacing w:line="276" w:lineRule="auto"/>
              <w:jc w:val="center"/>
              <w:rPr>
                <w:rFonts w:ascii="宋体" w:hAnsi="宋体"/>
                <w:szCs w:val="21"/>
              </w:rPr>
            </w:pPr>
          </w:p>
        </w:tc>
        <w:tc>
          <w:tcPr>
            <w:tcW w:w="4244" w:type="pct"/>
            <w:noWrap w:val="0"/>
            <w:vAlign w:val="center"/>
          </w:tcPr>
          <w:p w14:paraId="24B55638">
            <w:pPr>
              <w:spacing w:line="276" w:lineRule="auto"/>
              <w:jc w:val="left"/>
              <w:rPr>
                <w:szCs w:val="21"/>
              </w:rPr>
            </w:pPr>
            <w:r>
              <w:rPr>
                <w:rFonts w:hint="eastAsia" w:ascii="宋体" w:hAnsi="宋体"/>
                <w:szCs w:val="21"/>
              </w:rPr>
              <w:t>支持网站资产详情信息的展示，展示内容包括资产名称、</w:t>
            </w:r>
            <w:r>
              <w:rPr>
                <w:rFonts w:ascii="宋体" w:hAnsi="宋体"/>
                <w:szCs w:val="21"/>
              </w:rPr>
              <w:t>URL</w:t>
            </w:r>
            <w:r>
              <w:rPr>
                <w:rFonts w:hint="eastAsia" w:ascii="宋体" w:hAnsi="宋体"/>
                <w:szCs w:val="21"/>
              </w:rPr>
              <w:t>、责任人、责任部门</w:t>
            </w:r>
            <w:r>
              <w:rPr>
                <w:rFonts w:ascii="宋体" w:hAnsi="宋体"/>
                <w:szCs w:val="21"/>
              </w:rPr>
              <w:t>、网站标题、资产状态、资产分组、技术框架及版本等。</w:t>
            </w:r>
          </w:p>
        </w:tc>
      </w:tr>
      <w:tr w14:paraId="56E9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1B4B051F">
            <w:pPr>
              <w:spacing w:line="276" w:lineRule="auto"/>
              <w:jc w:val="center"/>
              <w:rPr>
                <w:rFonts w:ascii="宋体" w:hAnsi="宋体"/>
                <w:szCs w:val="21"/>
              </w:rPr>
            </w:pPr>
          </w:p>
        </w:tc>
        <w:tc>
          <w:tcPr>
            <w:tcW w:w="4244" w:type="pct"/>
            <w:noWrap w:val="0"/>
            <w:vAlign w:val="center"/>
          </w:tcPr>
          <w:p w14:paraId="2CAAE597">
            <w:pPr>
              <w:spacing w:line="276" w:lineRule="auto"/>
              <w:jc w:val="left"/>
              <w:rPr>
                <w:szCs w:val="21"/>
              </w:rPr>
            </w:pPr>
            <w:r>
              <w:rPr>
                <w:rFonts w:hint="eastAsia" w:ascii="宋体" w:hAnsi="宋体"/>
                <w:szCs w:val="21"/>
              </w:rPr>
              <w:t>支持</w:t>
            </w:r>
            <w:r>
              <w:rPr>
                <w:rFonts w:ascii="宋体" w:hAnsi="宋体"/>
                <w:szCs w:val="21"/>
              </w:rPr>
              <w:t>DHCP场景下的资产管理，支持对DHCP网段范围、DHCP租期</w:t>
            </w:r>
            <w:r>
              <w:rPr>
                <w:rFonts w:hint="eastAsia" w:ascii="宋体" w:hAnsi="宋体"/>
                <w:szCs w:val="21"/>
              </w:rPr>
              <w:t>、资产唯一标识</w:t>
            </w:r>
            <w:r>
              <w:rPr>
                <w:rFonts w:ascii="宋体" w:hAnsi="宋体"/>
                <w:szCs w:val="21"/>
              </w:rPr>
              <w:t>等属性进行配置。支持查看DHCP场景下资产IP的变更记录。</w:t>
            </w:r>
          </w:p>
        </w:tc>
      </w:tr>
      <w:tr w14:paraId="489D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08B9661E">
            <w:pPr>
              <w:spacing w:line="276" w:lineRule="auto"/>
              <w:jc w:val="center"/>
              <w:rPr>
                <w:rFonts w:ascii="宋体" w:hAnsi="宋体"/>
                <w:szCs w:val="21"/>
              </w:rPr>
            </w:pPr>
          </w:p>
        </w:tc>
        <w:tc>
          <w:tcPr>
            <w:tcW w:w="4244" w:type="pct"/>
            <w:noWrap w:val="0"/>
            <w:vAlign w:val="center"/>
          </w:tcPr>
          <w:p w14:paraId="03077A1D">
            <w:pPr>
              <w:spacing w:line="276" w:lineRule="auto"/>
              <w:jc w:val="left"/>
              <w:rPr>
                <w:szCs w:val="21"/>
              </w:rPr>
            </w:pPr>
            <w:r>
              <w:rPr>
                <w:rFonts w:hint="eastAsia" w:ascii="宋体" w:hAnsi="宋体"/>
                <w:szCs w:val="21"/>
              </w:rPr>
              <w:t>支持通过网络流量被动发现资产信息、支持通过脆弱性发现资产信息，资产信息至少包含：</w:t>
            </w:r>
            <w:r>
              <w:rPr>
                <w:rFonts w:ascii="宋体" w:hAnsi="宋体"/>
                <w:szCs w:val="21"/>
              </w:rPr>
              <w:t>IP地址、服务、服务版本、协议、端口、操作系统、主机名、mac等。</w:t>
            </w:r>
          </w:p>
        </w:tc>
      </w:tr>
      <w:tr w14:paraId="7967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3263DC2E">
            <w:pPr>
              <w:spacing w:line="276" w:lineRule="auto"/>
              <w:jc w:val="center"/>
              <w:rPr>
                <w:rFonts w:ascii="宋体" w:hAnsi="宋体"/>
                <w:szCs w:val="21"/>
              </w:rPr>
            </w:pPr>
          </w:p>
        </w:tc>
        <w:tc>
          <w:tcPr>
            <w:tcW w:w="4244" w:type="pct"/>
            <w:noWrap w:val="0"/>
            <w:vAlign w:val="center"/>
          </w:tcPr>
          <w:p w14:paraId="6CBB1135">
            <w:pPr>
              <w:spacing w:line="276" w:lineRule="auto"/>
              <w:jc w:val="left"/>
              <w:rPr>
                <w:szCs w:val="21"/>
              </w:rPr>
            </w:pPr>
            <w:r>
              <w:rPr>
                <w:rFonts w:hint="eastAsia" w:ascii="宋体" w:hAnsi="宋体"/>
                <w:szCs w:val="21"/>
              </w:rPr>
              <w:t>支持对资产风险值的自定义计算，计算范围包括威胁告警及脆弱性的危害等级、时间范围、处置状态等纬度。支持对风险计算周期进行配置。</w:t>
            </w:r>
          </w:p>
        </w:tc>
      </w:tr>
      <w:tr w14:paraId="411E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top"/>
          </w:tcPr>
          <w:p w14:paraId="3D8FCF48">
            <w:pPr>
              <w:spacing w:line="276" w:lineRule="auto"/>
              <w:jc w:val="center"/>
              <w:rPr>
                <w:rFonts w:ascii="宋体" w:hAnsi="宋体"/>
                <w:szCs w:val="21"/>
              </w:rPr>
            </w:pPr>
            <w:r>
              <w:rPr>
                <w:rFonts w:hint="eastAsia" w:ascii="宋体" w:hAnsi="宋体"/>
                <w:szCs w:val="21"/>
              </w:rPr>
              <w:t>脆弱性管理</w:t>
            </w:r>
          </w:p>
        </w:tc>
        <w:tc>
          <w:tcPr>
            <w:tcW w:w="4244" w:type="pct"/>
            <w:noWrap w:val="0"/>
            <w:vAlign w:val="center"/>
          </w:tcPr>
          <w:p w14:paraId="1E94185F">
            <w:pPr>
              <w:spacing w:line="276" w:lineRule="auto"/>
              <w:jc w:val="left"/>
              <w:rPr>
                <w:rFonts w:ascii="宋体" w:hAnsi="宋体"/>
                <w:szCs w:val="21"/>
              </w:rPr>
            </w:pPr>
            <w:r>
              <w:rPr>
                <w:rFonts w:hint="eastAsia" w:ascii="宋体" w:hAnsi="宋体"/>
                <w:szCs w:val="21"/>
              </w:rPr>
              <w:t>▲支持导入第三方漏洞扫描报告，至少支持绿盟、启明、网神、天融信、Tenable漏扫报告的解析识别和导入管理。</w:t>
            </w:r>
            <w:r>
              <w:rPr>
                <w:rFonts w:hint="eastAsia" w:ascii="宋体" w:hAnsi="宋体"/>
                <w:b/>
                <w:szCs w:val="21"/>
              </w:rPr>
              <w:t>（</w:t>
            </w:r>
            <w:r>
              <w:rPr>
                <w:rFonts w:hint="eastAsia" w:ascii="宋体" w:hAnsi="宋体" w:cs="宋体"/>
                <w:b/>
                <w:kern w:val="0"/>
                <w:szCs w:val="21"/>
              </w:rPr>
              <w:t>需在投标文件中</w:t>
            </w:r>
            <w:r>
              <w:rPr>
                <w:rFonts w:hint="eastAsia" w:ascii="宋体" w:hAnsi="宋体"/>
                <w:b/>
                <w:szCs w:val="21"/>
              </w:rPr>
              <w:t>提供相关功能的界面截图并加盖投标人公章）</w:t>
            </w:r>
          </w:p>
        </w:tc>
      </w:tr>
      <w:tr w14:paraId="54C3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0B3155C2">
            <w:pPr>
              <w:spacing w:line="276" w:lineRule="auto"/>
              <w:jc w:val="center"/>
              <w:rPr>
                <w:rFonts w:ascii="宋体" w:hAnsi="宋体"/>
                <w:szCs w:val="21"/>
              </w:rPr>
            </w:pPr>
          </w:p>
        </w:tc>
        <w:tc>
          <w:tcPr>
            <w:tcW w:w="4244" w:type="pct"/>
            <w:noWrap w:val="0"/>
            <w:vAlign w:val="center"/>
          </w:tcPr>
          <w:p w14:paraId="0E02AA6B">
            <w:pPr>
              <w:spacing w:line="276" w:lineRule="auto"/>
              <w:rPr>
                <w:rFonts w:ascii="宋体" w:hAnsi="宋体"/>
                <w:szCs w:val="21"/>
              </w:rPr>
            </w:pPr>
            <w:r>
              <w:rPr>
                <w:rFonts w:hint="eastAsia" w:ascii="宋体" w:hAnsi="宋体"/>
                <w:szCs w:val="21"/>
              </w:rPr>
              <w:t>▲支持对接绿盟、网神、Tenable中至少2款扫描设备，进行漏洞扫描任务调度和弱口令扫描任务调度，支持自动获取扫描器的扫描策略并执行周期性扫描任务和快速扫描任务；支持扫描任务结束通知，通知方式支持邮件、短信、企业微信、消息中心、企业钉钉、蓝信。</w:t>
            </w:r>
            <w:r>
              <w:rPr>
                <w:rFonts w:hint="eastAsia" w:ascii="宋体" w:hAnsi="宋体"/>
                <w:b/>
                <w:szCs w:val="21"/>
              </w:rPr>
              <w:t>（</w:t>
            </w:r>
            <w:r>
              <w:rPr>
                <w:rFonts w:hint="eastAsia" w:ascii="宋体" w:hAnsi="宋体" w:cs="宋体"/>
                <w:b/>
                <w:kern w:val="0"/>
                <w:szCs w:val="21"/>
              </w:rPr>
              <w:t>需在投标文件中</w:t>
            </w:r>
            <w:r>
              <w:rPr>
                <w:rFonts w:hint="eastAsia" w:ascii="宋体" w:hAnsi="宋体"/>
                <w:b/>
                <w:szCs w:val="21"/>
              </w:rPr>
              <w:t>提供相关功能的界面截图并加盖投标人公章）</w:t>
            </w:r>
          </w:p>
        </w:tc>
      </w:tr>
      <w:tr w14:paraId="0DFB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top"/>
          </w:tcPr>
          <w:p w14:paraId="10A11833">
            <w:pPr>
              <w:spacing w:line="276" w:lineRule="auto"/>
              <w:jc w:val="center"/>
              <w:rPr>
                <w:rFonts w:ascii="宋体" w:hAnsi="宋体"/>
                <w:szCs w:val="21"/>
              </w:rPr>
            </w:pPr>
            <w:r>
              <w:rPr>
                <w:rFonts w:hint="eastAsia" w:ascii="宋体" w:hAnsi="宋体"/>
                <w:szCs w:val="21"/>
              </w:rPr>
              <w:t>威胁情报</w:t>
            </w:r>
          </w:p>
        </w:tc>
        <w:tc>
          <w:tcPr>
            <w:tcW w:w="4244" w:type="pct"/>
            <w:noWrap w:val="0"/>
            <w:vAlign w:val="center"/>
          </w:tcPr>
          <w:p w14:paraId="544CDC96">
            <w:pPr>
              <w:spacing w:line="276" w:lineRule="auto"/>
              <w:jc w:val="left"/>
              <w:rPr>
                <w:szCs w:val="21"/>
              </w:rPr>
            </w:pPr>
            <w:r>
              <w:rPr>
                <w:rFonts w:hint="eastAsia" w:ascii="等线" w:hAnsi="等线"/>
                <w:szCs w:val="21"/>
              </w:rPr>
              <w:t>▲</w:t>
            </w:r>
            <w:r>
              <w:rPr>
                <w:rFonts w:hint="eastAsia" w:ascii="宋体" w:hAnsi="宋体"/>
                <w:szCs w:val="21"/>
              </w:rPr>
              <w:t>支持本地威胁情报的检索，检索类型支持域名、U</w:t>
            </w:r>
            <w:r>
              <w:rPr>
                <w:rFonts w:ascii="宋体" w:hAnsi="宋体"/>
                <w:szCs w:val="21"/>
              </w:rPr>
              <w:t>RL</w:t>
            </w:r>
            <w:r>
              <w:rPr>
                <w:rFonts w:hint="eastAsia" w:ascii="宋体" w:hAnsi="宋体"/>
                <w:szCs w:val="21"/>
              </w:rPr>
              <w:t>、</w:t>
            </w:r>
            <w:r>
              <w:rPr>
                <w:rFonts w:ascii="宋体" w:hAnsi="宋体"/>
                <w:szCs w:val="21"/>
              </w:rPr>
              <w:t>IP地址、文件MD5值；威胁情报内容支持IOC、攻击链阶段、</w:t>
            </w:r>
            <w:r>
              <w:rPr>
                <w:rFonts w:hint="eastAsia" w:ascii="宋体" w:hAnsi="宋体"/>
                <w:szCs w:val="21"/>
              </w:rPr>
              <w:t>I</w:t>
            </w:r>
            <w:r>
              <w:rPr>
                <w:rFonts w:ascii="宋体" w:hAnsi="宋体"/>
                <w:szCs w:val="21"/>
              </w:rPr>
              <w:t>D</w:t>
            </w:r>
            <w:r>
              <w:rPr>
                <w:rFonts w:hint="eastAsia" w:ascii="宋体" w:hAnsi="宋体"/>
                <w:szCs w:val="21"/>
              </w:rPr>
              <w:t>、</w:t>
            </w:r>
            <w:r>
              <w:rPr>
                <w:rFonts w:ascii="宋体" w:hAnsi="宋体"/>
                <w:szCs w:val="21"/>
              </w:rPr>
              <w:t>置信度、类型描述、</w:t>
            </w:r>
            <w:r>
              <w:rPr>
                <w:rFonts w:hint="eastAsia" w:ascii="宋体" w:hAnsi="宋体"/>
                <w:szCs w:val="21"/>
              </w:rPr>
              <w:t>定向攻击、风险等级、恶意</w:t>
            </w:r>
            <w:r>
              <w:rPr>
                <w:rFonts w:ascii="宋体" w:hAnsi="宋体"/>
                <w:szCs w:val="21"/>
              </w:rPr>
              <w:t>家族、</w:t>
            </w:r>
            <w:r>
              <w:rPr>
                <w:rFonts w:hint="eastAsia" w:ascii="宋体" w:hAnsi="宋体"/>
                <w:szCs w:val="21"/>
              </w:rPr>
              <w:t>发布时间、</w:t>
            </w:r>
            <w:r>
              <w:rPr>
                <w:rFonts w:ascii="宋体" w:hAnsi="宋体"/>
                <w:szCs w:val="21"/>
              </w:rPr>
              <w:t>攻击事件/团伙、影响平台、情报</w:t>
            </w:r>
            <w:r>
              <w:rPr>
                <w:rFonts w:hint="eastAsia" w:ascii="宋体" w:hAnsi="宋体"/>
                <w:szCs w:val="21"/>
              </w:rPr>
              <w:t>当前</w:t>
            </w:r>
            <w:r>
              <w:rPr>
                <w:rFonts w:ascii="宋体" w:hAnsi="宋体"/>
                <w:szCs w:val="21"/>
              </w:rPr>
              <w:t>状态、威胁描述等</w:t>
            </w:r>
            <w:r>
              <w:rPr>
                <w:rFonts w:hint="eastAsia" w:ascii="宋体" w:hAnsi="宋体"/>
                <w:szCs w:val="21"/>
              </w:rPr>
              <w:t>。</w:t>
            </w:r>
            <w:r>
              <w:rPr>
                <w:rFonts w:hint="eastAsia" w:cs="宋体"/>
                <w:b/>
                <w:kern w:val="0"/>
                <w:szCs w:val="21"/>
              </w:rPr>
              <w:t>（需在投标文件中提供相关功能的界面截图并加盖投标人公章）</w:t>
            </w:r>
          </w:p>
        </w:tc>
      </w:tr>
      <w:tr w14:paraId="0767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5BDC649C">
            <w:pPr>
              <w:spacing w:line="276" w:lineRule="auto"/>
              <w:jc w:val="center"/>
              <w:rPr>
                <w:rFonts w:ascii="宋体" w:hAnsi="宋体"/>
                <w:szCs w:val="21"/>
              </w:rPr>
            </w:pPr>
          </w:p>
        </w:tc>
        <w:tc>
          <w:tcPr>
            <w:tcW w:w="4244" w:type="pct"/>
            <w:noWrap w:val="0"/>
            <w:vAlign w:val="center"/>
          </w:tcPr>
          <w:p w14:paraId="07E3FACF">
            <w:pPr>
              <w:spacing w:line="276" w:lineRule="auto"/>
              <w:jc w:val="left"/>
              <w:rPr>
                <w:szCs w:val="21"/>
              </w:rPr>
            </w:pPr>
            <w:r>
              <w:rPr>
                <w:rFonts w:hint="eastAsia" w:ascii="宋体" w:hAnsi="宋体"/>
                <w:szCs w:val="21"/>
              </w:rPr>
              <w:t>支持云端威胁情报查询，查询结果需包含：IP主机信息、IP位置信息、域名流行度、情报IOC详情、</w:t>
            </w:r>
            <w:r>
              <w:rPr>
                <w:rFonts w:ascii="宋体" w:hAnsi="宋体"/>
                <w:szCs w:val="21"/>
              </w:rPr>
              <w:t>相关样本、</w:t>
            </w:r>
            <w:r>
              <w:rPr>
                <w:rFonts w:hint="eastAsia" w:ascii="宋体" w:hAnsi="宋体"/>
                <w:szCs w:val="21"/>
              </w:rPr>
              <w:t>可视化</w:t>
            </w:r>
            <w:r>
              <w:rPr>
                <w:rFonts w:ascii="宋体" w:hAnsi="宋体"/>
                <w:szCs w:val="21"/>
              </w:rPr>
              <w:t>分析、</w:t>
            </w:r>
            <w:r>
              <w:rPr>
                <w:rFonts w:hint="eastAsia" w:ascii="宋体" w:hAnsi="宋体"/>
                <w:szCs w:val="21"/>
              </w:rPr>
              <w:t>域名解析记录</w:t>
            </w:r>
            <w:r>
              <w:rPr>
                <w:rFonts w:ascii="宋体" w:hAnsi="宋体"/>
                <w:szCs w:val="21"/>
              </w:rPr>
              <w:t>、</w:t>
            </w:r>
            <w:r>
              <w:rPr>
                <w:rFonts w:hint="eastAsia" w:ascii="宋体" w:hAnsi="宋体"/>
                <w:szCs w:val="21"/>
              </w:rPr>
              <w:t>域名</w:t>
            </w:r>
            <w:r>
              <w:rPr>
                <w:rFonts w:ascii="宋体" w:hAnsi="宋体"/>
                <w:szCs w:val="21"/>
              </w:rPr>
              <w:t>注册信息</w:t>
            </w:r>
            <w:r>
              <w:rPr>
                <w:rFonts w:hint="eastAsia" w:ascii="宋体" w:hAnsi="宋体"/>
                <w:szCs w:val="21"/>
              </w:rPr>
              <w:t>、</w:t>
            </w:r>
            <w:r>
              <w:rPr>
                <w:rFonts w:ascii="宋体" w:hAnsi="宋体"/>
                <w:szCs w:val="21"/>
              </w:rPr>
              <w:t>关联域名</w:t>
            </w:r>
            <w:r>
              <w:rPr>
                <w:rFonts w:hint="eastAsia" w:ascii="宋体" w:hAnsi="宋体"/>
                <w:szCs w:val="21"/>
              </w:rPr>
              <w:t>、</w:t>
            </w:r>
            <w:r>
              <w:rPr>
                <w:rFonts w:ascii="宋体" w:hAnsi="宋体"/>
                <w:szCs w:val="21"/>
              </w:rPr>
              <w:t>数字证书等信息</w:t>
            </w:r>
            <w:r>
              <w:rPr>
                <w:rFonts w:hint="eastAsia" w:ascii="宋体" w:hAnsi="宋体"/>
                <w:szCs w:val="21"/>
              </w:rPr>
              <w:t>。</w:t>
            </w:r>
          </w:p>
        </w:tc>
      </w:tr>
      <w:tr w14:paraId="4C10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2C7C8987">
            <w:pPr>
              <w:spacing w:line="276" w:lineRule="auto"/>
              <w:jc w:val="center"/>
              <w:rPr>
                <w:rFonts w:ascii="宋体" w:hAnsi="宋体"/>
                <w:szCs w:val="21"/>
              </w:rPr>
            </w:pPr>
          </w:p>
        </w:tc>
        <w:tc>
          <w:tcPr>
            <w:tcW w:w="4244" w:type="pct"/>
            <w:noWrap w:val="0"/>
            <w:vAlign w:val="center"/>
          </w:tcPr>
          <w:p w14:paraId="3E144EEF">
            <w:pPr>
              <w:spacing w:line="276" w:lineRule="auto"/>
              <w:jc w:val="left"/>
              <w:rPr>
                <w:szCs w:val="21"/>
              </w:rPr>
            </w:pPr>
            <w:r>
              <w:rPr>
                <w:rFonts w:hint="eastAsia" w:ascii="宋体" w:hAnsi="宋体"/>
                <w:szCs w:val="21"/>
              </w:rPr>
              <w:t>支持自定义威胁情报，支持类型包含</w:t>
            </w:r>
            <w:r>
              <w:rPr>
                <w:rFonts w:ascii="宋体" w:hAnsi="宋体"/>
                <w:szCs w:val="21"/>
              </w:rPr>
              <w:t>IP地址、域名、MD5、域名:URI、IP地址:URI、域名:端口、IP地址:端口、域名:端口:URI、IP地址:端口:URI。支持自定义IPv6的威胁情报</w:t>
            </w:r>
            <w:r>
              <w:rPr>
                <w:rFonts w:hint="eastAsia" w:ascii="宋体" w:hAnsi="宋体"/>
                <w:szCs w:val="21"/>
              </w:rPr>
              <w:t>。</w:t>
            </w:r>
          </w:p>
        </w:tc>
      </w:tr>
      <w:tr w14:paraId="2152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top"/>
          </w:tcPr>
          <w:p w14:paraId="39C77F74">
            <w:pPr>
              <w:spacing w:line="276" w:lineRule="auto"/>
              <w:jc w:val="center"/>
              <w:rPr>
                <w:rFonts w:ascii="宋体" w:hAnsi="宋体"/>
                <w:szCs w:val="21"/>
              </w:rPr>
            </w:pPr>
            <w:r>
              <w:rPr>
                <w:rFonts w:hint="eastAsia" w:ascii="宋体" w:hAnsi="宋体"/>
                <w:szCs w:val="21"/>
              </w:rPr>
              <w:t>威胁检测</w:t>
            </w:r>
          </w:p>
        </w:tc>
        <w:tc>
          <w:tcPr>
            <w:tcW w:w="4244" w:type="pct"/>
            <w:noWrap w:val="0"/>
            <w:vAlign w:val="center"/>
          </w:tcPr>
          <w:p w14:paraId="2840DC8B">
            <w:pPr>
              <w:spacing w:line="276" w:lineRule="auto"/>
              <w:rPr>
                <w:rFonts w:hint="eastAsia" w:ascii="宋体" w:hAnsi="宋体"/>
                <w:szCs w:val="21"/>
              </w:rPr>
            </w:pPr>
            <w:r>
              <w:rPr>
                <w:rFonts w:hint="eastAsia" w:ascii="宋体" w:hAnsi="宋体"/>
                <w:szCs w:val="21"/>
              </w:rPr>
              <w:t>支持预置关联分析场景，包括不限于：攻击利用、恶意软件、拒绝服务、异常事件、内容安全、信息收集、威胁活动、威胁情报命中等不同威胁场景的分析。支持将VPN、沙箱、流量传感器、Linux、Windows、AD域、WAF、NIPS、防火墙、HIDS、蜜罐等日志类型定义为标签，支持按照标签一键筛选定位关联规则。</w:t>
            </w:r>
          </w:p>
        </w:tc>
      </w:tr>
      <w:tr w14:paraId="3F37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47CA9CB7">
            <w:pPr>
              <w:spacing w:line="276" w:lineRule="auto"/>
              <w:jc w:val="center"/>
              <w:rPr>
                <w:rFonts w:ascii="宋体" w:hAnsi="宋体"/>
                <w:szCs w:val="21"/>
              </w:rPr>
            </w:pPr>
          </w:p>
        </w:tc>
        <w:tc>
          <w:tcPr>
            <w:tcW w:w="4244" w:type="pct"/>
            <w:noWrap w:val="0"/>
            <w:vAlign w:val="center"/>
          </w:tcPr>
          <w:p w14:paraId="03EF89A6">
            <w:pPr>
              <w:spacing w:line="276" w:lineRule="auto"/>
              <w:jc w:val="left"/>
              <w:rPr>
                <w:szCs w:val="21"/>
              </w:rPr>
            </w:pPr>
            <w:r>
              <w:rPr>
                <w:rFonts w:hint="eastAsia" w:ascii="等线" w:hAnsi="等线"/>
                <w:szCs w:val="21"/>
              </w:rPr>
              <w:t>▲</w:t>
            </w:r>
            <w:r>
              <w:rPr>
                <w:rFonts w:hint="eastAsia" w:ascii="宋体" w:hAnsi="宋体"/>
                <w:szCs w:val="21"/>
              </w:rPr>
              <w:t>支持特种技战术模拟评估，支持展示覆盖ATT&amp;CK的矩阵，ATT&amp;CK技术项覆盖率达到44%；支持分析网络流量，对网络入侵事件、恶意软件事件、威胁情报事件进行监测；支持对告警进行</w:t>
            </w:r>
            <w:r>
              <w:rPr>
                <w:rFonts w:ascii="宋体" w:hAnsi="宋体"/>
                <w:szCs w:val="21"/>
              </w:rPr>
              <w:t>ATT&amp;CK攻击战术、攻击技术的标识，并支持通过告警关联到ATT&amp;CK知识库。</w:t>
            </w:r>
            <w:r>
              <w:rPr>
                <w:rFonts w:hint="eastAsia" w:ascii="宋体" w:hAnsi="宋体"/>
                <w:b/>
                <w:szCs w:val="21"/>
              </w:rPr>
              <w:t>（</w:t>
            </w:r>
            <w:r>
              <w:rPr>
                <w:rFonts w:ascii="宋体" w:hAnsi="宋体"/>
                <w:b/>
                <w:szCs w:val="21"/>
              </w:rPr>
              <w:t>需在投标文件中提供相关功能的界面截图并加盖投标人公章）</w:t>
            </w:r>
          </w:p>
        </w:tc>
      </w:tr>
      <w:tr w14:paraId="4D5D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1AB116DF">
            <w:pPr>
              <w:spacing w:line="276" w:lineRule="auto"/>
              <w:jc w:val="center"/>
              <w:rPr>
                <w:rFonts w:ascii="宋体" w:hAnsi="宋体"/>
                <w:szCs w:val="21"/>
              </w:rPr>
            </w:pPr>
          </w:p>
        </w:tc>
        <w:tc>
          <w:tcPr>
            <w:tcW w:w="4244" w:type="pct"/>
            <w:noWrap w:val="0"/>
            <w:vAlign w:val="center"/>
          </w:tcPr>
          <w:p w14:paraId="5377B3BC">
            <w:pPr>
              <w:spacing w:line="276" w:lineRule="auto"/>
              <w:rPr>
                <w:szCs w:val="21"/>
              </w:rPr>
            </w:pPr>
            <w:r>
              <w:rPr>
                <w:rFonts w:hint="eastAsia" w:ascii="等线" w:hAnsi="等线"/>
                <w:szCs w:val="21"/>
              </w:rPr>
              <w:t>▲</w:t>
            </w:r>
            <w:r>
              <w:rPr>
                <w:rFonts w:hint="eastAsia" w:ascii="宋体" w:hAnsi="宋体"/>
                <w:szCs w:val="21"/>
              </w:rPr>
              <w:t>支持按照归并条件针对重复告警进行归并，归并条件包括不限于：检测规则ID、数据源IP、攻击链阶段、ATT&amp;CK技术项、失陷状态、攻击结果、攻击者、受害者、CVE编号、协议、漏洞名称、漏洞描述、漏洞危害、CNNVD等条件。</w:t>
            </w:r>
            <w:r>
              <w:rPr>
                <w:rFonts w:hint="eastAsia" w:cs="宋体"/>
                <w:b/>
                <w:kern w:val="0"/>
                <w:szCs w:val="21"/>
              </w:rPr>
              <w:t>（</w:t>
            </w:r>
            <w:r>
              <w:rPr>
                <w:rFonts w:ascii="宋体" w:hAnsi="宋体"/>
                <w:b/>
                <w:szCs w:val="21"/>
              </w:rPr>
              <w:t>需在投标文件中</w:t>
            </w:r>
            <w:r>
              <w:rPr>
                <w:rFonts w:hint="eastAsia" w:cs="宋体"/>
                <w:b/>
                <w:kern w:val="0"/>
                <w:szCs w:val="21"/>
              </w:rPr>
              <w:t>提供相关功能的界面截图并加盖投标人公章）</w:t>
            </w:r>
          </w:p>
        </w:tc>
      </w:tr>
      <w:tr w14:paraId="41EC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20C83F95">
            <w:pPr>
              <w:spacing w:line="276" w:lineRule="auto"/>
              <w:jc w:val="center"/>
              <w:rPr>
                <w:rFonts w:ascii="宋体" w:hAnsi="宋体"/>
                <w:szCs w:val="21"/>
              </w:rPr>
            </w:pPr>
          </w:p>
        </w:tc>
        <w:tc>
          <w:tcPr>
            <w:tcW w:w="4244" w:type="pct"/>
            <w:noWrap w:val="0"/>
            <w:vAlign w:val="center"/>
          </w:tcPr>
          <w:p w14:paraId="706A583F">
            <w:pPr>
              <w:spacing w:line="276" w:lineRule="auto"/>
              <w:rPr>
                <w:rFonts w:ascii="宋体" w:hAnsi="宋体"/>
                <w:szCs w:val="21"/>
              </w:rPr>
            </w:pPr>
            <w:r>
              <w:rPr>
                <w:rFonts w:hint="eastAsia" w:ascii="宋体" w:hAnsi="宋体"/>
                <w:szCs w:val="21"/>
              </w:rPr>
              <w:t>支持在告警详情页面下发安全编排任务，已下发的编排任务相关信息会记录到处置记录中，在处置记录中点击剧本实例编号，可以查看编排剧本实例运行进度详情。</w:t>
            </w:r>
          </w:p>
        </w:tc>
      </w:tr>
      <w:tr w14:paraId="4E84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center"/>
          </w:tcPr>
          <w:p w14:paraId="05B4CC43">
            <w:pPr>
              <w:spacing w:line="276" w:lineRule="auto"/>
              <w:jc w:val="center"/>
              <w:rPr>
                <w:rFonts w:ascii="宋体" w:hAnsi="宋体"/>
                <w:szCs w:val="21"/>
              </w:rPr>
            </w:pPr>
            <w:r>
              <w:rPr>
                <w:rFonts w:hint="eastAsia" w:ascii="宋体" w:hAnsi="宋体"/>
                <w:szCs w:val="21"/>
              </w:rPr>
              <w:t>威胁预警</w:t>
            </w:r>
          </w:p>
        </w:tc>
        <w:tc>
          <w:tcPr>
            <w:tcW w:w="4244" w:type="pct"/>
            <w:noWrap w:val="0"/>
            <w:vAlign w:val="center"/>
          </w:tcPr>
          <w:p w14:paraId="281F73C9">
            <w:pPr>
              <w:spacing w:line="276" w:lineRule="auto"/>
              <w:rPr>
                <w:rFonts w:hint="eastAsia"/>
                <w:szCs w:val="21"/>
              </w:rPr>
            </w:pPr>
            <w:r>
              <w:rPr>
                <w:rFonts w:hint="eastAsia" w:ascii="宋体" w:hAnsi="宋体"/>
                <w:szCs w:val="21"/>
              </w:rPr>
              <w:t>支持对重大网络安全事件（如Log4j漏洞）进行威胁预警功能。厂商针对重大网络安全事件生成威胁预警包，通过系统自动升级的方式分发给平台用户。</w:t>
            </w:r>
          </w:p>
        </w:tc>
      </w:tr>
      <w:tr w14:paraId="4688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35F83419">
            <w:pPr>
              <w:spacing w:line="276" w:lineRule="auto"/>
              <w:jc w:val="center"/>
              <w:rPr>
                <w:rFonts w:ascii="宋体" w:hAnsi="宋体"/>
                <w:szCs w:val="21"/>
              </w:rPr>
            </w:pPr>
          </w:p>
        </w:tc>
        <w:tc>
          <w:tcPr>
            <w:tcW w:w="4244" w:type="pct"/>
            <w:noWrap w:val="0"/>
            <w:vAlign w:val="center"/>
          </w:tcPr>
          <w:p w14:paraId="1AACB481">
            <w:pPr>
              <w:spacing w:line="276" w:lineRule="auto"/>
              <w:rPr>
                <w:rFonts w:hint="eastAsia" w:ascii="等线" w:hAnsi="等线"/>
                <w:szCs w:val="21"/>
              </w:rPr>
            </w:pPr>
            <w:r>
              <w:rPr>
                <w:rFonts w:hint="eastAsia" w:ascii="等线" w:hAnsi="等线"/>
                <w:szCs w:val="21"/>
              </w:rPr>
              <w:t>针对重大安全事件，支持统计风险资产数、受攻击资产数、失陷资产数以及资产的日同比及周同比对比情况。</w:t>
            </w:r>
          </w:p>
        </w:tc>
      </w:tr>
      <w:tr w14:paraId="493B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00AAF223">
            <w:pPr>
              <w:spacing w:line="276" w:lineRule="auto"/>
              <w:jc w:val="center"/>
              <w:rPr>
                <w:rFonts w:ascii="宋体" w:hAnsi="宋体"/>
                <w:szCs w:val="21"/>
              </w:rPr>
            </w:pPr>
          </w:p>
        </w:tc>
        <w:tc>
          <w:tcPr>
            <w:tcW w:w="4244" w:type="pct"/>
            <w:noWrap w:val="0"/>
            <w:vAlign w:val="center"/>
          </w:tcPr>
          <w:p w14:paraId="6A10BA09">
            <w:pPr>
              <w:spacing w:line="276" w:lineRule="auto"/>
              <w:rPr>
                <w:rFonts w:hint="eastAsia" w:ascii="等线" w:hAnsi="等线"/>
                <w:szCs w:val="21"/>
              </w:rPr>
            </w:pPr>
            <w:r>
              <w:rPr>
                <w:rFonts w:hint="eastAsia" w:ascii="等线" w:hAnsi="等线" w:cs="宋体"/>
                <w:szCs w:val="21"/>
              </w:rPr>
              <w:t>▲</w:t>
            </w:r>
            <w:r>
              <w:rPr>
                <w:rFonts w:hint="eastAsia" w:ascii="等线" w:hAnsi="等线"/>
                <w:szCs w:val="21"/>
              </w:rPr>
              <w:t>支持预警事件关键里程碑节点展示，支持关键节点配置，预置大面积爆发、有效控制、威胁缓解等节点，支持自定义节点。</w:t>
            </w:r>
            <w:r>
              <w:rPr>
                <w:rFonts w:hint="eastAsia" w:cs="宋体"/>
                <w:b/>
                <w:kern w:val="0"/>
                <w:szCs w:val="21"/>
              </w:rPr>
              <w:t>（</w:t>
            </w:r>
            <w:r>
              <w:rPr>
                <w:rFonts w:ascii="宋体" w:hAnsi="宋体"/>
                <w:b/>
                <w:szCs w:val="21"/>
              </w:rPr>
              <w:t>需在投标文件中</w:t>
            </w:r>
            <w:r>
              <w:rPr>
                <w:rFonts w:hint="eastAsia" w:cs="宋体"/>
                <w:b/>
                <w:kern w:val="0"/>
                <w:szCs w:val="21"/>
              </w:rPr>
              <w:t>提供相关功能的界面截图并加盖投标人公章）</w:t>
            </w:r>
          </w:p>
        </w:tc>
      </w:tr>
      <w:tr w14:paraId="2AB4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top"/>
          </w:tcPr>
          <w:p w14:paraId="74627EE7">
            <w:pPr>
              <w:spacing w:line="276" w:lineRule="auto"/>
              <w:jc w:val="center"/>
              <w:rPr>
                <w:rFonts w:ascii="宋体" w:hAnsi="宋体"/>
                <w:szCs w:val="21"/>
              </w:rPr>
            </w:pPr>
            <w:r>
              <w:rPr>
                <w:rFonts w:hint="eastAsia" w:ascii="宋体" w:hAnsi="宋体"/>
                <w:szCs w:val="21"/>
              </w:rPr>
              <w:t>基线管理</w:t>
            </w:r>
          </w:p>
        </w:tc>
        <w:tc>
          <w:tcPr>
            <w:tcW w:w="4244" w:type="pct"/>
            <w:noWrap w:val="0"/>
            <w:vAlign w:val="center"/>
          </w:tcPr>
          <w:p w14:paraId="39CDB5DB">
            <w:pPr>
              <w:pStyle w:val="2"/>
              <w:ind w:firstLine="0"/>
              <w:rPr>
                <w:rFonts w:hint="eastAsia"/>
                <w:szCs w:val="21"/>
              </w:rPr>
            </w:pPr>
            <w:r>
              <w:rPr>
                <w:rFonts w:hint="eastAsia" w:ascii="宋体" w:hAnsi="宋体"/>
                <w:szCs w:val="21"/>
              </w:rPr>
              <w:t>支持对不同类型的日志做分析，包括安全设备的日志、网络流量日志、主机日志等,，以发现更多的异常行为。</w:t>
            </w:r>
          </w:p>
        </w:tc>
      </w:tr>
      <w:tr w14:paraId="7398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14446285">
            <w:pPr>
              <w:spacing w:line="276" w:lineRule="auto"/>
              <w:jc w:val="center"/>
              <w:rPr>
                <w:rFonts w:ascii="宋体" w:hAnsi="宋体"/>
                <w:szCs w:val="21"/>
              </w:rPr>
            </w:pPr>
          </w:p>
        </w:tc>
        <w:tc>
          <w:tcPr>
            <w:tcW w:w="4244" w:type="pct"/>
            <w:noWrap w:val="0"/>
            <w:vAlign w:val="center"/>
          </w:tcPr>
          <w:p w14:paraId="225AEC2C">
            <w:pPr>
              <w:spacing w:line="276" w:lineRule="auto"/>
              <w:jc w:val="left"/>
              <w:rPr>
                <w:rFonts w:hint="eastAsia"/>
                <w:szCs w:val="21"/>
              </w:rPr>
            </w:pPr>
            <w:r>
              <w:rPr>
                <w:rFonts w:hint="eastAsia" w:ascii="宋体" w:hAnsi="宋体"/>
                <w:szCs w:val="21"/>
              </w:rPr>
              <w:t>行为基线模型，模型内容包括检测模型、威胁类型、基线更新策略、模型启用时间、模型类型同时支持对行为基线的状态进行监控，包括：生成/生效状态、运行状态及CPU利用率、内存占用进行监控。</w:t>
            </w:r>
          </w:p>
        </w:tc>
      </w:tr>
      <w:tr w14:paraId="3D2A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top"/>
          </w:tcPr>
          <w:p w14:paraId="6B7D9F20">
            <w:pPr>
              <w:spacing w:line="276" w:lineRule="auto"/>
              <w:jc w:val="center"/>
              <w:rPr>
                <w:rFonts w:ascii="宋体" w:hAnsi="宋体"/>
                <w:szCs w:val="21"/>
              </w:rPr>
            </w:pPr>
            <w:r>
              <w:rPr>
                <w:rFonts w:hint="eastAsia" w:ascii="宋体" w:hAnsi="宋体"/>
                <w:szCs w:val="21"/>
              </w:rPr>
              <w:t>分析溯源</w:t>
            </w:r>
          </w:p>
        </w:tc>
        <w:tc>
          <w:tcPr>
            <w:tcW w:w="4244" w:type="pct"/>
            <w:noWrap w:val="0"/>
            <w:vAlign w:val="center"/>
          </w:tcPr>
          <w:p w14:paraId="38FC0F61">
            <w:pPr>
              <w:spacing w:line="276" w:lineRule="auto"/>
              <w:jc w:val="left"/>
              <w:rPr>
                <w:rFonts w:hint="eastAsia" w:ascii="宋体" w:hAnsi="宋体"/>
                <w:szCs w:val="21"/>
              </w:rPr>
            </w:pPr>
            <w:r>
              <w:rPr>
                <w:rFonts w:hint="eastAsia" w:ascii="等线" w:hAnsi="等线"/>
                <w:szCs w:val="21"/>
              </w:rPr>
              <w:t>▲</w:t>
            </w:r>
            <w:r>
              <w:rPr>
                <w:rFonts w:hint="eastAsia" w:ascii="宋体" w:hAnsi="宋体"/>
                <w:szCs w:val="21"/>
              </w:rPr>
              <w:t>支持场景化分析能力，专题展示不同场景下的安全风险。支持业务资产主动外联、HTTP代理发现、DNS Tunnel发现、reGeorg Tunnel发现、SOCKS代理发现、DGA域名发现、异地账号登录、暴力破解、明文密码泄露、弱口令、VPN登录地域分布、VPN账号登录行为、邮件威胁分析、邮件敏感关键词、邮件敏感后缀等专题场景化分析及信息展示。</w:t>
            </w:r>
            <w:r>
              <w:rPr>
                <w:rFonts w:ascii="宋体" w:hAnsi="宋体"/>
                <w:b/>
                <w:szCs w:val="21"/>
              </w:rPr>
              <w:t>（</w:t>
            </w:r>
            <w:r>
              <w:rPr>
                <w:rFonts w:hint="eastAsia" w:ascii="宋体" w:hAnsi="宋体"/>
                <w:b/>
                <w:szCs w:val="21"/>
              </w:rPr>
              <w:t>需在投标文件中</w:t>
            </w:r>
            <w:r>
              <w:rPr>
                <w:rFonts w:ascii="宋体" w:hAnsi="宋体"/>
                <w:b/>
                <w:szCs w:val="21"/>
              </w:rPr>
              <w:t>提供第三方检测报告证明</w:t>
            </w:r>
            <w:r>
              <w:rPr>
                <w:rFonts w:hint="eastAsia" w:ascii="宋体" w:hAnsi="宋体"/>
                <w:b/>
                <w:szCs w:val="21"/>
              </w:rPr>
              <w:t>材料并加盖投标人公章</w:t>
            </w:r>
            <w:r>
              <w:rPr>
                <w:rFonts w:ascii="宋体" w:hAnsi="宋体"/>
                <w:b/>
                <w:szCs w:val="21"/>
              </w:rPr>
              <w:t>）</w:t>
            </w:r>
          </w:p>
        </w:tc>
      </w:tr>
      <w:tr w14:paraId="4749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6D8258C2">
            <w:pPr>
              <w:spacing w:line="276" w:lineRule="auto"/>
              <w:jc w:val="center"/>
              <w:rPr>
                <w:rFonts w:ascii="宋体" w:hAnsi="宋体"/>
                <w:szCs w:val="21"/>
              </w:rPr>
            </w:pPr>
          </w:p>
        </w:tc>
        <w:tc>
          <w:tcPr>
            <w:tcW w:w="4244" w:type="pct"/>
            <w:noWrap w:val="0"/>
            <w:vAlign w:val="center"/>
          </w:tcPr>
          <w:p w14:paraId="35AB1F46">
            <w:pPr>
              <w:spacing w:line="276" w:lineRule="auto"/>
              <w:jc w:val="left"/>
              <w:rPr>
                <w:szCs w:val="21"/>
              </w:rPr>
            </w:pPr>
            <w:r>
              <w:rPr>
                <w:rFonts w:hint="eastAsia" w:ascii="宋体" w:hAnsi="宋体"/>
                <w:szCs w:val="21"/>
              </w:rPr>
              <w:t>支持调查事件，编辑事件基础信息，包括事件名称、事件类型、事件优先级、事件描述等；证据库中支持移除添加的告警，支持移除资产关联的脆弱性数据，支持添加证据截图及描述信息；支持编辑事件处置建议。支持保存、确认、终止事件调查。</w:t>
            </w:r>
          </w:p>
        </w:tc>
      </w:tr>
      <w:tr w14:paraId="2B48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34695638">
            <w:pPr>
              <w:spacing w:line="276" w:lineRule="auto"/>
              <w:jc w:val="center"/>
              <w:rPr>
                <w:rFonts w:ascii="宋体" w:hAnsi="宋体"/>
                <w:szCs w:val="21"/>
              </w:rPr>
            </w:pPr>
          </w:p>
        </w:tc>
        <w:tc>
          <w:tcPr>
            <w:tcW w:w="4244" w:type="pct"/>
            <w:noWrap w:val="0"/>
            <w:vAlign w:val="center"/>
          </w:tcPr>
          <w:p w14:paraId="69298044">
            <w:pPr>
              <w:spacing w:line="276" w:lineRule="auto"/>
              <w:jc w:val="left"/>
              <w:rPr>
                <w:rFonts w:hint="eastAsia"/>
                <w:szCs w:val="21"/>
              </w:rPr>
            </w:pPr>
            <w:r>
              <w:rPr>
                <w:rFonts w:hint="eastAsia" w:ascii="宋体" w:hAnsi="宋体"/>
                <w:szCs w:val="21"/>
              </w:rPr>
              <w:t>搜索结果支持按照全文或结构化（键/值、JSON串）展示，可筛选展示字段，隐藏不必要字段，支持调整字段展示顺序。</w:t>
            </w:r>
          </w:p>
        </w:tc>
      </w:tr>
      <w:tr w14:paraId="2B80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487EDCB7">
            <w:pPr>
              <w:spacing w:line="276" w:lineRule="auto"/>
              <w:jc w:val="center"/>
              <w:rPr>
                <w:rFonts w:ascii="宋体" w:hAnsi="宋体"/>
                <w:szCs w:val="21"/>
              </w:rPr>
            </w:pPr>
          </w:p>
        </w:tc>
        <w:tc>
          <w:tcPr>
            <w:tcW w:w="4244" w:type="pct"/>
            <w:noWrap w:val="0"/>
            <w:vAlign w:val="center"/>
          </w:tcPr>
          <w:p w14:paraId="1726CC46">
            <w:pPr>
              <w:spacing w:line="276" w:lineRule="auto"/>
              <w:jc w:val="left"/>
              <w:rPr>
                <w:szCs w:val="21"/>
              </w:rPr>
            </w:pPr>
            <w:r>
              <w:rPr>
                <w:rFonts w:hint="eastAsia" w:ascii="宋体" w:hAnsi="宋体"/>
                <w:szCs w:val="21"/>
              </w:rPr>
              <w:t>支持导出搜索结果，可导出全部字段或展示字段，支持搜索结果添加到调查任务。</w:t>
            </w:r>
          </w:p>
        </w:tc>
      </w:tr>
      <w:tr w14:paraId="2BD7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2DE88AD8">
            <w:pPr>
              <w:spacing w:line="276" w:lineRule="auto"/>
              <w:jc w:val="center"/>
              <w:rPr>
                <w:rFonts w:ascii="宋体" w:hAnsi="宋体"/>
                <w:szCs w:val="21"/>
              </w:rPr>
            </w:pPr>
          </w:p>
        </w:tc>
        <w:tc>
          <w:tcPr>
            <w:tcW w:w="4244" w:type="pct"/>
            <w:noWrap w:val="0"/>
            <w:vAlign w:val="center"/>
          </w:tcPr>
          <w:p w14:paraId="129E6A7A">
            <w:pPr>
              <w:spacing w:line="276" w:lineRule="auto"/>
              <w:jc w:val="left"/>
              <w:rPr>
                <w:rFonts w:ascii="宋体" w:hAnsi="宋体"/>
                <w:szCs w:val="21"/>
              </w:rPr>
            </w:pPr>
            <w:r>
              <w:rPr>
                <w:rFonts w:hint="eastAsia" w:ascii="等线" w:hAnsi="等线"/>
                <w:szCs w:val="21"/>
              </w:rPr>
              <w:t>▲</w:t>
            </w:r>
            <w:r>
              <w:rPr>
                <w:rFonts w:hint="eastAsia" w:ascii="宋体" w:hAnsi="宋体"/>
                <w:szCs w:val="21"/>
              </w:rPr>
              <w:t>支持按时间范围查询响应事件，并按照响应状态（待解决、解决中、已解决）统计响应事件的数量，快速了解当前平台响应事件的情况；支持按照事件属性字段查询响应事件。支持查看事件响应详情信息、事件响应处置的时间轴信息和事件响应阶段信息；事件响应详情包括事件调查基本信息（如：事件类型、攻击技术、事件描述、事件时间、调查结论和处置建议）。</w:t>
            </w:r>
            <w:r>
              <w:rPr>
                <w:rFonts w:hint="eastAsia" w:ascii="宋体" w:hAnsi="宋体"/>
                <w:b/>
                <w:szCs w:val="21"/>
              </w:rPr>
              <w:t>（</w:t>
            </w:r>
            <w:r>
              <w:rPr>
                <w:rFonts w:ascii="宋体" w:hAnsi="宋体"/>
                <w:b/>
                <w:szCs w:val="21"/>
              </w:rPr>
              <w:t>需在投标文件中提供相关功能的界面截图并加盖投标人公章）</w:t>
            </w:r>
          </w:p>
        </w:tc>
      </w:tr>
      <w:tr w14:paraId="52CB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0941B457">
            <w:pPr>
              <w:spacing w:line="276" w:lineRule="auto"/>
              <w:jc w:val="center"/>
              <w:rPr>
                <w:rFonts w:ascii="宋体" w:hAnsi="宋体"/>
                <w:szCs w:val="21"/>
              </w:rPr>
            </w:pPr>
          </w:p>
        </w:tc>
        <w:tc>
          <w:tcPr>
            <w:tcW w:w="4244" w:type="pct"/>
            <w:noWrap w:val="0"/>
            <w:vAlign w:val="center"/>
          </w:tcPr>
          <w:p w14:paraId="4557D2C0">
            <w:pPr>
              <w:spacing w:line="276" w:lineRule="auto"/>
              <w:jc w:val="left"/>
              <w:rPr>
                <w:rFonts w:hint="eastAsia" w:ascii="宋体" w:hAnsi="宋体"/>
                <w:szCs w:val="21"/>
              </w:rPr>
            </w:pPr>
            <w:r>
              <w:rPr>
                <w:rFonts w:hint="eastAsia" w:ascii="宋体" w:hAnsi="宋体"/>
                <w:szCs w:val="21"/>
              </w:rPr>
              <w:t>支持对日志内容进行编解码，包含</w:t>
            </w:r>
            <w:r>
              <w:rPr>
                <w:rFonts w:ascii="宋体" w:hAnsi="宋体"/>
                <w:szCs w:val="21"/>
              </w:rPr>
              <w:t>Unicode、UFT-8、URL、ASCII、Hex、Bse64六种解码方式；支持对日志内容进行进制转换，包含2进制、8进制、10进制、16进制间的互相转换。</w:t>
            </w:r>
          </w:p>
        </w:tc>
      </w:tr>
      <w:tr w14:paraId="2F46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top"/>
          </w:tcPr>
          <w:p w14:paraId="4263D08C">
            <w:pPr>
              <w:spacing w:line="276" w:lineRule="auto"/>
              <w:jc w:val="center"/>
              <w:rPr>
                <w:rFonts w:ascii="宋体" w:hAnsi="宋体"/>
                <w:szCs w:val="21"/>
              </w:rPr>
            </w:pPr>
            <w:r>
              <w:rPr>
                <w:rFonts w:hint="eastAsia" w:ascii="宋体" w:hAnsi="宋体"/>
                <w:szCs w:val="21"/>
              </w:rPr>
              <w:t>工单响应</w:t>
            </w:r>
          </w:p>
        </w:tc>
        <w:tc>
          <w:tcPr>
            <w:tcW w:w="4244" w:type="pct"/>
            <w:noWrap w:val="0"/>
            <w:vAlign w:val="center"/>
          </w:tcPr>
          <w:p w14:paraId="72630BD6">
            <w:pPr>
              <w:spacing w:line="276" w:lineRule="auto"/>
              <w:jc w:val="left"/>
              <w:rPr>
                <w:szCs w:val="21"/>
              </w:rPr>
            </w:pPr>
            <w:r>
              <w:rPr>
                <w:rFonts w:hint="eastAsia" w:ascii="等线" w:hAnsi="等线"/>
                <w:szCs w:val="21"/>
              </w:rPr>
              <w:t>▲</w:t>
            </w:r>
            <w:r>
              <w:rPr>
                <w:rFonts w:hint="eastAsia" w:ascii="宋体" w:hAnsi="宋体"/>
                <w:szCs w:val="21"/>
              </w:rPr>
              <w:t>支持通过工单对安全事件进行跟踪处理，工单类型包括：通用、弱口令、告警、配置核查、漏洞。工单流转中支持添加附件，支持</w:t>
            </w:r>
            <w:r>
              <w:rPr>
                <w:rFonts w:ascii="宋体" w:hAnsi="宋体"/>
                <w:szCs w:val="21"/>
              </w:rPr>
              <w:t>zip,rar,pdf,doc,docx, xls,xlsx,ppt,pptx,txt,png,jpeg,jpg格式</w:t>
            </w:r>
            <w:r>
              <w:rPr>
                <w:rFonts w:hint="eastAsia" w:ascii="宋体" w:hAnsi="宋体"/>
                <w:szCs w:val="21"/>
              </w:rPr>
              <w:t>。</w:t>
            </w:r>
            <w:r>
              <w:rPr>
                <w:rFonts w:hint="eastAsia" w:ascii="宋体" w:hAnsi="宋体"/>
                <w:b/>
                <w:szCs w:val="21"/>
              </w:rPr>
              <w:t>（</w:t>
            </w:r>
            <w:r>
              <w:rPr>
                <w:rFonts w:ascii="宋体" w:hAnsi="宋体"/>
                <w:b/>
                <w:szCs w:val="21"/>
              </w:rPr>
              <w:t>需在投标文件中提供相关功能的界面截图并加盖投标人公章）</w:t>
            </w:r>
          </w:p>
        </w:tc>
      </w:tr>
      <w:tr w14:paraId="1394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61B1F9D8">
            <w:pPr>
              <w:spacing w:line="276" w:lineRule="auto"/>
              <w:jc w:val="center"/>
              <w:rPr>
                <w:rFonts w:ascii="宋体" w:hAnsi="宋体"/>
                <w:szCs w:val="21"/>
              </w:rPr>
            </w:pPr>
          </w:p>
        </w:tc>
        <w:tc>
          <w:tcPr>
            <w:tcW w:w="4244" w:type="pct"/>
            <w:noWrap w:val="0"/>
            <w:vAlign w:val="center"/>
          </w:tcPr>
          <w:p w14:paraId="02DB920F">
            <w:pPr>
              <w:spacing w:line="276" w:lineRule="auto"/>
              <w:jc w:val="left"/>
              <w:rPr>
                <w:rFonts w:hint="eastAsia" w:ascii="宋体" w:hAnsi="宋体"/>
                <w:szCs w:val="21"/>
              </w:rPr>
            </w:pPr>
            <w:r>
              <w:rPr>
                <w:rFonts w:hint="eastAsia" w:ascii="宋体" w:hAnsi="宋体"/>
                <w:szCs w:val="21"/>
              </w:rPr>
              <w:t>工单状态包含待下发、待处置、处置中、已处置、已完成、已撤销。</w:t>
            </w:r>
          </w:p>
        </w:tc>
      </w:tr>
      <w:tr w14:paraId="2190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72AF8087">
            <w:pPr>
              <w:spacing w:line="276" w:lineRule="auto"/>
              <w:jc w:val="center"/>
              <w:rPr>
                <w:rFonts w:ascii="宋体" w:hAnsi="宋体"/>
                <w:szCs w:val="21"/>
              </w:rPr>
            </w:pPr>
          </w:p>
        </w:tc>
        <w:tc>
          <w:tcPr>
            <w:tcW w:w="4244" w:type="pct"/>
            <w:noWrap w:val="0"/>
            <w:vAlign w:val="center"/>
          </w:tcPr>
          <w:p w14:paraId="714D420A">
            <w:pPr>
              <w:spacing w:line="276" w:lineRule="auto"/>
              <w:jc w:val="left"/>
              <w:rPr>
                <w:rFonts w:hint="eastAsia" w:ascii="宋体" w:hAnsi="宋体"/>
                <w:szCs w:val="21"/>
              </w:rPr>
            </w:pPr>
            <w:r>
              <w:rPr>
                <w:rFonts w:hint="eastAsia" w:ascii="宋体" w:hAnsi="宋体"/>
                <w:szCs w:val="21"/>
              </w:rPr>
              <w:t>工单通知方式分为个人和群两种，通知方式（个人）包括：邮件、短信、企业微信、消息中心、企业钉钉、蓝信；通知方式（群）包括：企业钉钉群、企业微信群、蓝信群。支持多人协同的工单跟踪处理方式。</w:t>
            </w:r>
          </w:p>
        </w:tc>
      </w:tr>
      <w:tr w14:paraId="2E4D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center"/>
          </w:tcPr>
          <w:p w14:paraId="692312FD">
            <w:pPr>
              <w:spacing w:line="276" w:lineRule="auto"/>
              <w:jc w:val="center"/>
              <w:rPr>
                <w:rFonts w:ascii="宋体" w:hAnsi="宋体"/>
                <w:szCs w:val="21"/>
              </w:rPr>
            </w:pPr>
            <w:r>
              <w:rPr>
                <w:rFonts w:hint="eastAsia" w:ascii="宋体" w:hAnsi="宋体"/>
                <w:szCs w:val="21"/>
              </w:rPr>
              <w:t>态势大屏</w:t>
            </w:r>
          </w:p>
        </w:tc>
        <w:tc>
          <w:tcPr>
            <w:tcW w:w="4244" w:type="pct"/>
            <w:noWrap w:val="0"/>
            <w:vAlign w:val="top"/>
          </w:tcPr>
          <w:p w14:paraId="2D5613B1">
            <w:pPr>
              <w:spacing w:line="276" w:lineRule="auto"/>
              <w:jc w:val="left"/>
              <w:rPr>
                <w:rFonts w:hint="eastAsia" w:ascii="宋体" w:hAnsi="宋体"/>
                <w:szCs w:val="21"/>
              </w:rPr>
            </w:pPr>
            <w:r>
              <w:rPr>
                <w:rFonts w:hint="eastAsia" w:ascii="宋体" w:hAnsi="宋体"/>
                <w:szCs w:val="21"/>
              </w:rPr>
              <w:t>提供态势感知大屏统一入口，态势首页集中展示至少10块态势大屏；支持大屏配置、轮播投放，内置大屏介绍文档，可供用户线上查看和下载；</w:t>
            </w:r>
          </w:p>
        </w:tc>
      </w:tr>
      <w:tr w14:paraId="312F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74A1A900">
            <w:pPr>
              <w:spacing w:line="276" w:lineRule="auto"/>
              <w:jc w:val="center"/>
              <w:rPr>
                <w:rFonts w:ascii="宋体" w:hAnsi="宋体"/>
                <w:szCs w:val="21"/>
              </w:rPr>
            </w:pPr>
          </w:p>
        </w:tc>
        <w:tc>
          <w:tcPr>
            <w:tcW w:w="4244" w:type="pct"/>
            <w:noWrap w:val="0"/>
            <w:vAlign w:val="top"/>
          </w:tcPr>
          <w:p w14:paraId="763577F3">
            <w:pPr>
              <w:spacing w:line="276" w:lineRule="auto"/>
              <w:jc w:val="left"/>
              <w:rPr>
                <w:rFonts w:ascii="宋体" w:hAnsi="宋体"/>
                <w:szCs w:val="21"/>
              </w:rPr>
            </w:pPr>
            <w:r>
              <w:rPr>
                <w:rFonts w:hint="eastAsia" w:ascii="宋体" w:hAnsi="宋体"/>
                <w:szCs w:val="21"/>
              </w:rPr>
              <w:t>支持对态势大屏的内网地理位置、重点关注区域进行修改；支持自定义大屏LOGO；支持设置大屏启停、轮播间隔时间、大屏轮播顺序。</w:t>
            </w:r>
          </w:p>
        </w:tc>
      </w:tr>
      <w:tr w14:paraId="1173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60FFD317">
            <w:pPr>
              <w:spacing w:line="276" w:lineRule="auto"/>
              <w:jc w:val="center"/>
              <w:rPr>
                <w:rFonts w:ascii="宋体" w:hAnsi="宋体"/>
                <w:szCs w:val="21"/>
              </w:rPr>
            </w:pPr>
          </w:p>
        </w:tc>
        <w:tc>
          <w:tcPr>
            <w:tcW w:w="4244" w:type="pct"/>
            <w:noWrap w:val="0"/>
            <w:vAlign w:val="top"/>
          </w:tcPr>
          <w:p w14:paraId="129F4117">
            <w:pPr>
              <w:spacing w:line="276" w:lineRule="auto"/>
              <w:jc w:val="left"/>
              <w:rPr>
                <w:rFonts w:hint="eastAsia" w:ascii="宋体" w:hAnsi="宋体"/>
                <w:szCs w:val="21"/>
              </w:rPr>
            </w:pPr>
            <w:r>
              <w:rPr>
                <w:rFonts w:hint="eastAsia" w:ascii="等线" w:hAnsi="等线"/>
                <w:szCs w:val="21"/>
              </w:rPr>
              <w:t>▲</w:t>
            </w:r>
            <w:r>
              <w:rPr>
                <w:rFonts w:hint="eastAsia" w:ascii="宋体" w:hAnsi="宋体"/>
                <w:szCs w:val="21"/>
              </w:rPr>
              <w:t>态势大屏不限于综合安全态势、安全运营态势、威胁预警态势、外部威胁态势、内网威胁态势、攻击者态势、资产态势、资产风险态势、全网脆弱性态势、告警实时监控大屏。</w:t>
            </w:r>
            <w:r>
              <w:rPr>
                <w:rFonts w:hint="eastAsia" w:ascii="宋体" w:hAnsi="宋体"/>
                <w:b/>
                <w:szCs w:val="21"/>
              </w:rPr>
              <w:t>（</w:t>
            </w:r>
            <w:r>
              <w:rPr>
                <w:rFonts w:ascii="宋体" w:hAnsi="宋体"/>
                <w:b/>
                <w:szCs w:val="21"/>
              </w:rPr>
              <w:t>需在投标文件中提供相关功能的界面截图并加盖投标人公章）</w:t>
            </w:r>
          </w:p>
        </w:tc>
      </w:tr>
      <w:tr w14:paraId="08D0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noWrap w:val="0"/>
            <w:vAlign w:val="center"/>
          </w:tcPr>
          <w:p w14:paraId="5438FC7C">
            <w:pPr>
              <w:spacing w:line="276" w:lineRule="auto"/>
              <w:jc w:val="center"/>
              <w:rPr>
                <w:rFonts w:ascii="宋体" w:hAnsi="宋体"/>
                <w:szCs w:val="21"/>
              </w:rPr>
            </w:pPr>
            <w:r>
              <w:rPr>
                <w:rFonts w:hint="eastAsia" w:ascii="宋体" w:hAnsi="宋体"/>
                <w:szCs w:val="21"/>
              </w:rPr>
              <w:t>系统管理</w:t>
            </w:r>
          </w:p>
        </w:tc>
        <w:tc>
          <w:tcPr>
            <w:tcW w:w="4244" w:type="pct"/>
            <w:noWrap w:val="0"/>
            <w:vAlign w:val="center"/>
          </w:tcPr>
          <w:p w14:paraId="244AD977">
            <w:pPr>
              <w:spacing w:line="276" w:lineRule="auto"/>
              <w:jc w:val="left"/>
              <w:rPr>
                <w:rFonts w:hint="eastAsia" w:ascii="宋体" w:hAnsi="宋体"/>
                <w:szCs w:val="21"/>
              </w:rPr>
            </w:pPr>
            <w:r>
              <w:rPr>
                <w:rFonts w:hint="eastAsia" w:ascii="宋体" w:hAnsi="宋体"/>
                <w:szCs w:val="21"/>
              </w:rPr>
              <w:t>支持统一系统软件版本、威胁情报、漏洞知识库、IP地址定位库、巡检规则包、威胁预警包等数据的升级，支持配置升级地址并展示当前版本和升级相关信息，支持手动/自动升级方式。</w:t>
            </w:r>
          </w:p>
        </w:tc>
      </w:tr>
      <w:tr w14:paraId="2792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128EBBC6">
            <w:pPr>
              <w:spacing w:line="276" w:lineRule="auto"/>
              <w:jc w:val="center"/>
              <w:rPr>
                <w:rFonts w:ascii="宋体" w:hAnsi="宋体"/>
                <w:szCs w:val="21"/>
              </w:rPr>
            </w:pPr>
          </w:p>
        </w:tc>
        <w:tc>
          <w:tcPr>
            <w:tcW w:w="4244" w:type="pct"/>
            <w:noWrap w:val="0"/>
            <w:vAlign w:val="center"/>
          </w:tcPr>
          <w:p w14:paraId="497FCC6D">
            <w:pPr>
              <w:spacing w:line="276" w:lineRule="auto"/>
              <w:jc w:val="left"/>
              <w:rPr>
                <w:rFonts w:ascii="宋体" w:hAnsi="宋体"/>
                <w:szCs w:val="21"/>
              </w:rPr>
            </w:pPr>
            <w:r>
              <w:rPr>
                <w:rFonts w:hint="eastAsia" w:ascii="宋体" w:hAnsi="宋体"/>
                <w:szCs w:val="21"/>
              </w:rPr>
              <w:t>支持用户角色管理，</w:t>
            </w:r>
            <w:r>
              <w:rPr>
                <w:rFonts w:ascii="宋体" w:hAnsi="宋体"/>
                <w:szCs w:val="21"/>
              </w:rPr>
              <w:t>可以为不同角色赋予不同系统功能模块及数据的读写权限</w:t>
            </w:r>
            <w:r>
              <w:rPr>
                <w:rFonts w:hint="eastAsia" w:ascii="宋体" w:hAnsi="宋体"/>
                <w:szCs w:val="21"/>
              </w:rPr>
              <w:t>。</w:t>
            </w:r>
          </w:p>
        </w:tc>
      </w:tr>
      <w:tr w14:paraId="003B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5B9731DF">
            <w:pPr>
              <w:spacing w:line="276" w:lineRule="auto"/>
              <w:jc w:val="center"/>
              <w:rPr>
                <w:rFonts w:ascii="宋体" w:hAnsi="宋体"/>
                <w:szCs w:val="21"/>
              </w:rPr>
            </w:pPr>
          </w:p>
        </w:tc>
        <w:tc>
          <w:tcPr>
            <w:tcW w:w="4244" w:type="pct"/>
            <w:noWrap w:val="0"/>
            <w:vAlign w:val="center"/>
          </w:tcPr>
          <w:p w14:paraId="00A0A664">
            <w:pPr>
              <w:spacing w:line="276" w:lineRule="auto"/>
              <w:jc w:val="left"/>
              <w:rPr>
                <w:rFonts w:hint="eastAsia" w:ascii="宋体" w:hAnsi="宋体"/>
                <w:szCs w:val="21"/>
              </w:rPr>
            </w:pPr>
            <w:r>
              <w:rPr>
                <w:rFonts w:hint="eastAsia" w:ascii="宋体" w:hAnsi="宋体"/>
                <w:szCs w:val="21"/>
              </w:rPr>
              <w:t>支持对接第三方设备配置，实现联动处置、免登录认证、资产同步、漏洞同步、日志同步以及情报查询等多种三方联动能力</w:t>
            </w:r>
            <w:r>
              <w:rPr>
                <w:rFonts w:ascii="宋体" w:hAnsi="宋体"/>
                <w:szCs w:val="21"/>
              </w:rPr>
              <w:t>。</w:t>
            </w:r>
          </w:p>
        </w:tc>
      </w:tr>
      <w:tr w14:paraId="1571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32B368B5">
            <w:pPr>
              <w:spacing w:line="276" w:lineRule="auto"/>
              <w:jc w:val="center"/>
              <w:rPr>
                <w:rFonts w:ascii="宋体" w:hAnsi="宋体"/>
                <w:szCs w:val="21"/>
              </w:rPr>
            </w:pPr>
          </w:p>
        </w:tc>
        <w:tc>
          <w:tcPr>
            <w:tcW w:w="4244" w:type="pct"/>
            <w:noWrap w:val="0"/>
            <w:vAlign w:val="center"/>
          </w:tcPr>
          <w:p w14:paraId="602A1079">
            <w:pPr>
              <w:spacing w:line="276" w:lineRule="auto"/>
              <w:jc w:val="left"/>
              <w:rPr>
                <w:rFonts w:hint="eastAsia" w:ascii="宋体" w:hAnsi="宋体"/>
                <w:szCs w:val="21"/>
              </w:rPr>
            </w:pPr>
            <w:r>
              <w:rPr>
                <w:rFonts w:hint="eastAsia" w:ascii="宋体" w:hAnsi="宋体"/>
                <w:szCs w:val="21"/>
              </w:rPr>
              <w:t>支持知识库管理，内置漏洞知识库、IP地址定位知识库、ATT&amp;CK 知识库、应用识别知识库、事件日志ID知识库。</w:t>
            </w:r>
          </w:p>
        </w:tc>
      </w:tr>
      <w:tr w14:paraId="1E25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continue"/>
            <w:noWrap w:val="0"/>
            <w:vAlign w:val="center"/>
          </w:tcPr>
          <w:p w14:paraId="29525385">
            <w:pPr>
              <w:spacing w:line="276" w:lineRule="auto"/>
              <w:jc w:val="center"/>
              <w:rPr>
                <w:rFonts w:ascii="宋体" w:hAnsi="宋体"/>
                <w:szCs w:val="21"/>
              </w:rPr>
            </w:pPr>
          </w:p>
        </w:tc>
        <w:tc>
          <w:tcPr>
            <w:tcW w:w="4244" w:type="pct"/>
            <w:noWrap w:val="0"/>
            <w:vAlign w:val="center"/>
          </w:tcPr>
          <w:p w14:paraId="78513482">
            <w:pPr>
              <w:spacing w:line="276" w:lineRule="auto"/>
              <w:jc w:val="left"/>
              <w:rPr>
                <w:rFonts w:hint="eastAsia" w:ascii="宋体" w:hAnsi="宋体"/>
                <w:szCs w:val="21"/>
              </w:rPr>
            </w:pPr>
            <w:r>
              <w:rPr>
                <w:rFonts w:hint="eastAsia" w:ascii="宋体" w:hAnsi="宋体"/>
                <w:szCs w:val="21"/>
              </w:rPr>
              <w:t>支持自定义知识库，支持对自定义知识库字段的管理和配置，字段包含文本框、富文本、数值、密码、附件等表现形式，支持自定义知识库的增删改查等基础配置。</w:t>
            </w:r>
          </w:p>
        </w:tc>
      </w:tr>
    </w:tbl>
    <w:p w14:paraId="0048DC0D">
      <w:pPr>
        <w:ind w:left="420"/>
      </w:pPr>
      <w:r>
        <w:rPr>
          <w:rFonts w:hint="eastAsia"/>
        </w:rPr>
        <w:t>（2）威胁探针技术要求</w:t>
      </w:r>
    </w:p>
    <w:tbl>
      <w:tblPr>
        <w:tblStyle w:val="6"/>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1681"/>
        <w:gridCol w:w="1228"/>
        <w:gridCol w:w="6417"/>
      </w:tblGrid>
      <w:tr w14:paraId="6538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4" w:type="dxa"/>
            <w:vMerge w:val="restart"/>
            <w:noWrap w:val="0"/>
            <w:vAlign w:val="center"/>
          </w:tcPr>
          <w:p w14:paraId="1C6C8DA4">
            <w:pPr>
              <w:pStyle w:val="11"/>
              <w:numPr>
                <w:ilvl w:val="0"/>
                <w:numId w:val="2"/>
              </w:numPr>
              <w:tabs>
                <w:tab w:val="left" w:pos="180"/>
                <w:tab w:val="clear" w:pos="360"/>
              </w:tabs>
              <w:jc w:val="center"/>
              <w:rPr>
                <w:rFonts w:ascii="Times New Roman" w:hAnsi="Times New Roman"/>
                <w:szCs w:val="21"/>
              </w:rPr>
            </w:pPr>
          </w:p>
        </w:tc>
        <w:tc>
          <w:tcPr>
            <w:tcW w:w="1681" w:type="dxa"/>
            <w:vMerge w:val="restart"/>
            <w:noWrap w:val="0"/>
            <w:vAlign w:val="center"/>
          </w:tcPr>
          <w:p w14:paraId="07CD38A4">
            <w:pPr>
              <w:pStyle w:val="11"/>
              <w:jc w:val="center"/>
              <w:rPr>
                <w:rFonts w:ascii="Times New Roman" w:hAnsi="Times New Roman"/>
                <w:szCs w:val="21"/>
              </w:rPr>
            </w:pPr>
            <w:r>
              <w:rPr>
                <w:rFonts w:hint="eastAsia" w:ascii="Times New Roman" w:hAnsi="Times New Roman"/>
                <w:szCs w:val="21"/>
              </w:rPr>
              <w:t>威胁探针</w:t>
            </w:r>
          </w:p>
        </w:tc>
        <w:tc>
          <w:tcPr>
            <w:tcW w:w="1228" w:type="dxa"/>
            <w:vMerge w:val="restart"/>
            <w:noWrap w:val="0"/>
            <w:vAlign w:val="center"/>
          </w:tcPr>
          <w:p w14:paraId="0102992E">
            <w:pPr>
              <w:pStyle w:val="11"/>
              <w:jc w:val="center"/>
              <w:rPr>
                <w:rFonts w:ascii="Times New Roman" w:hAnsi="Times New Roman"/>
                <w:szCs w:val="21"/>
              </w:rPr>
            </w:pPr>
            <w:r>
              <w:rPr>
                <w:rFonts w:hint="eastAsia" w:ascii="Times New Roman" w:hAnsi="Times New Roman"/>
                <w:szCs w:val="21"/>
              </w:rPr>
              <w:t>3</w:t>
            </w:r>
            <w:r>
              <w:rPr>
                <w:rFonts w:ascii="Times New Roman" w:hAnsi="Times New Roman"/>
                <w:szCs w:val="21"/>
              </w:rPr>
              <w:t>台</w:t>
            </w:r>
          </w:p>
        </w:tc>
        <w:tc>
          <w:tcPr>
            <w:tcW w:w="6417" w:type="dxa"/>
            <w:noWrap w:val="0"/>
            <w:vAlign w:val="center"/>
          </w:tcPr>
          <w:p w14:paraId="3727AF6B">
            <w:pPr>
              <w:spacing w:line="276" w:lineRule="auto"/>
              <w:ind w:left="122" w:leftChars="58" w:right="97" w:rightChars="46"/>
              <w:jc w:val="left"/>
              <w:rPr>
                <w:rFonts w:ascii="宋体" w:hAnsi="宋体"/>
                <w:szCs w:val="21"/>
              </w:rPr>
            </w:pPr>
            <w:r>
              <w:rPr>
                <w:rFonts w:hint="eastAsia" w:ascii="宋体" w:hAnsi="宋体"/>
                <w:szCs w:val="21"/>
              </w:rPr>
              <w:t>★（1）提供2台威胁探针性能如下，</w:t>
            </w:r>
            <w:r>
              <w:rPr>
                <w:rFonts w:ascii="宋体" w:hAnsi="宋体"/>
                <w:szCs w:val="21"/>
              </w:rPr>
              <w:t>吞吐量≥</w:t>
            </w:r>
            <w:r>
              <w:rPr>
                <w:rFonts w:hint="eastAsia" w:ascii="宋体" w:hAnsi="宋体"/>
                <w:szCs w:val="21"/>
              </w:rPr>
              <w:t>1</w:t>
            </w:r>
            <w:r>
              <w:rPr>
                <w:rFonts w:ascii="宋体" w:hAnsi="宋体"/>
                <w:szCs w:val="21"/>
              </w:rPr>
              <w:t>Gbps，</w:t>
            </w:r>
            <w:r>
              <w:rPr>
                <w:rFonts w:hint="eastAsia" w:ascii="宋体" w:hAnsi="宋体"/>
                <w:szCs w:val="21"/>
              </w:rPr>
              <w:t>http并发连接数≥300万，</w:t>
            </w:r>
            <w:r>
              <w:rPr>
                <w:rFonts w:ascii="宋体" w:hAnsi="宋体"/>
                <w:szCs w:val="21"/>
              </w:rPr>
              <w:t>流量数据采集器配备≥6个千兆电口，≥</w:t>
            </w:r>
            <w:r>
              <w:rPr>
                <w:rFonts w:hint="eastAsia" w:ascii="宋体" w:hAnsi="宋体"/>
                <w:szCs w:val="21"/>
              </w:rPr>
              <w:t>2个扩展插槽</w:t>
            </w:r>
            <w:r>
              <w:rPr>
                <w:rFonts w:ascii="宋体" w:hAnsi="宋体"/>
                <w:szCs w:val="21"/>
              </w:rPr>
              <w:t>。支持配置接口地址为IPv4地址或IPv6地址；支持配置管理接口为IPv4地址或IPv6地址的管理方式；支持配置IPv4和IPv6静态路由；支持对IPv4路由监控和对IPv6路由监控。</w:t>
            </w:r>
          </w:p>
          <w:p w14:paraId="5315BD7E">
            <w:pPr>
              <w:spacing w:line="276" w:lineRule="auto"/>
              <w:ind w:left="122" w:leftChars="58" w:right="97" w:rightChars="46"/>
              <w:jc w:val="left"/>
              <w:rPr>
                <w:rFonts w:ascii="宋体" w:hAnsi="宋体"/>
                <w:szCs w:val="21"/>
              </w:rPr>
            </w:pPr>
            <w:r>
              <w:rPr>
                <w:rFonts w:hint="eastAsia" w:ascii="宋体" w:hAnsi="宋体"/>
                <w:szCs w:val="21"/>
              </w:rPr>
              <w:t>★（2）提供1台威胁探针性能如下，吞吐量≥7Gbps，http并发连接数≥700万，流量数据采集器配备≥4个千兆电口，≥2个万兆电口，≥8个扩展插槽。支持配置接口地址为IPv4地址或IPv6地址；支持配置管理接口为IPv4地址或IPv6地址的管理方式；支持配置IPv4和IPv6静态路由；支持对IPv4路由监控和对IPv6路由监控。</w:t>
            </w:r>
          </w:p>
        </w:tc>
      </w:tr>
      <w:tr w14:paraId="54A1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4" w:type="dxa"/>
            <w:vMerge w:val="continue"/>
            <w:noWrap w:val="0"/>
            <w:vAlign w:val="center"/>
          </w:tcPr>
          <w:p w14:paraId="49C5DF0E">
            <w:pPr>
              <w:pStyle w:val="11"/>
              <w:numPr>
                <w:ilvl w:val="0"/>
                <w:numId w:val="2"/>
              </w:numPr>
              <w:tabs>
                <w:tab w:val="left" w:pos="180"/>
                <w:tab w:val="clear" w:pos="360"/>
              </w:tabs>
              <w:jc w:val="center"/>
              <w:rPr>
                <w:rFonts w:ascii="Times New Roman" w:hAnsi="Times New Roman"/>
                <w:szCs w:val="21"/>
              </w:rPr>
            </w:pPr>
          </w:p>
        </w:tc>
        <w:tc>
          <w:tcPr>
            <w:tcW w:w="1681" w:type="dxa"/>
            <w:vMerge w:val="continue"/>
            <w:noWrap w:val="0"/>
            <w:vAlign w:val="center"/>
          </w:tcPr>
          <w:p w14:paraId="4F956C57">
            <w:pPr>
              <w:pStyle w:val="11"/>
              <w:jc w:val="center"/>
              <w:rPr>
                <w:rFonts w:ascii="Times New Roman" w:hAnsi="Times New Roman"/>
                <w:szCs w:val="21"/>
              </w:rPr>
            </w:pPr>
          </w:p>
        </w:tc>
        <w:tc>
          <w:tcPr>
            <w:tcW w:w="1228" w:type="dxa"/>
            <w:vMerge w:val="continue"/>
            <w:noWrap w:val="0"/>
            <w:vAlign w:val="center"/>
          </w:tcPr>
          <w:p w14:paraId="3287DBA6">
            <w:pPr>
              <w:pStyle w:val="11"/>
              <w:jc w:val="center"/>
              <w:rPr>
                <w:rFonts w:ascii="Times New Roman" w:hAnsi="Times New Roman"/>
                <w:szCs w:val="21"/>
              </w:rPr>
            </w:pPr>
          </w:p>
        </w:tc>
        <w:tc>
          <w:tcPr>
            <w:tcW w:w="6417" w:type="dxa"/>
            <w:noWrap w:val="0"/>
            <w:vAlign w:val="center"/>
          </w:tcPr>
          <w:p w14:paraId="0397A0D8">
            <w:pPr>
              <w:spacing w:line="276" w:lineRule="auto"/>
              <w:ind w:left="122" w:leftChars="58" w:right="97" w:rightChars="46"/>
              <w:jc w:val="left"/>
              <w:rPr>
                <w:rFonts w:ascii="宋体" w:hAnsi="宋体"/>
                <w:szCs w:val="21"/>
              </w:rPr>
            </w:pPr>
            <w:r>
              <w:rPr>
                <w:rFonts w:ascii="宋体" w:hAnsi="宋体"/>
                <w:szCs w:val="21"/>
              </w:rPr>
              <w:t>▲</w:t>
            </w:r>
            <w:r>
              <w:rPr>
                <w:rFonts w:hint="eastAsia" w:ascii="宋体" w:hAnsi="宋体"/>
                <w:szCs w:val="21"/>
              </w:rPr>
              <w:t>流量数据采集器技术要求如下：</w:t>
            </w:r>
          </w:p>
          <w:p w14:paraId="524C8615">
            <w:pPr>
              <w:spacing w:line="276" w:lineRule="auto"/>
              <w:ind w:left="122" w:leftChars="58" w:right="97" w:rightChars="46"/>
              <w:jc w:val="left"/>
              <w:rPr>
                <w:rFonts w:hint="eastAsia" w:ascii="宋体" w:hAnsi="宋体"/>
                <w:szCs w:val="21"/>
              </w:rPr>
            </w:pPr>
            <w:r>
              <w:rPr>
                <w:rFonts w:hint="eastAsia" w:ascii="宋体" w:hAnsi="宋体"/>
                <w:szCs w:val="21"/>
              </w:rPr>
              <w:t>（1）采集过滤条件支持但不限于源地址、目的地址、服务、流量采样比、时间等；支持空载荷过滤，支持对采集的流量的上下行载荷长度设置；</w:t>
            </w:r>
          </w:p>
          <w:p w14:paraId="6418572D">
            <w:pPr>
              <w:spacing w:line="276" w:lineRule="auto"/>
              <w:ind w:left="122" w:leftChars="58" w:right="97" w:rightChars="46"/>
              <w:jc w:val="left"/>
              <w:rPr>
                <w:rFonts w:ascii="宋体" w:hAnsi="宋体"/>
                <w:szCs w:val="21"/>
              </w:rPr>
            </w:pPr>
            <w:r>
              <w:rPr>
                <w:rFonts w:hint="eastAsia" w:ascii="宋体" w:hAnsi="宋体"/>
                <w:szCs w:val="21"/>
              </w:rPr>
              <w:t>（2）支持基于SSL协议的SMTPS、POP3S、IMAPS、HTTPS流量进行解密，可添加基于源目的地址及端口的过滤条件；</w:t>
            </w:r>
          </w:p>
          <w:p w14:paraId="54F949F4">
            <w:pPr>
              <w:spacing w:line="276" w:lineRule="auto"/>
              <w:ind w:left="122" w:leftChars="58" w:right="97" w:rightChars="46"/>
              <w:jc w:val="left"/>
              <w:rPr>
                <w:rFonts w:ascii="宋体" w:hAnsi="宋体"/>
                <w:szCs w:val="21"/>
              </w:rPr>
            </w:pPr>
            <w:r>
              <w:rPr>
                <w:rFonts w:hint="eastAsia" w:ascii="宋体" w:hAnsi="宋体"/>
                <w:szCs w:val="21"/>
              </w:rPr>
              <w:t>（3）</w:t>
            </w:r>
            <w:r>
              <w:rPr>
                <w:rFonts w:ascii="宋体" w:hAnsi="宋体"/>
                <w:szCs w:val="21"/>
              </w:rPr>
              <w:t>支持</w:t>
            </w:r>
            <w:r>
              <w:rPr>
                <w:rFonts w:hint="eastAsia" w:ascii="宋体" w:hAnsi="宋体"/>
                <w:szCs w:val="21"/>
              </w:rPr>
              <w:t>自定义解析流量能力，支持基于正则表达式、TLV格式、固定长度等提取模式对应用流量解析</w:t>
            </w:r>
            <w:r>
              <w:rPr>
                <w:rFonts w:ascii="宋体" w:hAnsi="宋体"/>
                <w:szCs w:val="21"/>
              </w:rPr>
              <w:t>。</w:t>
            </w:r>
          </w:p>
          <w:p w14:paraId="357C9026">
            <w:pPr>
              <w:spacing w:line="276" w:lineRule="auto"/>
              <w:ind w:left="122" w:leftChars="58" w:right="97" w:rightChars="46"/>
              <w:jc w:val="left"/>
              <w:rPr>
                <w:b/>
                <w:szCs w:val="21"/>
              </w:rPr>
            </w:pPr>
            <w:r>
              <w:rPr>
                <w:rFonts w:ascii="宋体" w:hAnsi="宋体"/>
                <w:b/>
                <w:szCs w:val="21"/>
              </w:rPr>
              <w:t>（</w:t>
            </w:r>
            <w:r>
              <w:rPr>
                <w:rFonts w:hint="eastAsia" w:ascii="宋体" w:hAnsi="宋体"/>
                <w:b/>
                <w:szCs w:val="21"/>
              </w:rPr>
              <w:t>需在投标文件中提供能体现以上参数要求的软件功能界面截图并加盖投标人公章</w:t>
            </w:r>
            <w:r>
              <w:rPr>
                <w:rFonts w:ascii="宋体" w:hAnsi="宋体"/>
                <w:b/>
                <w:szCs w:val="21"/>
              </w:rPr>
              <w:t>）</w:t>
            </w:r>
          </w:p>
        </w:tc>
      </w:tr>
    </w:tbl>
    <w:p w14:paraId="278CA07C">
      <w:pPr>
        <w:numPr>
          <w:ilvl w:val="0"/>
          <w:numId w:val="3"/>
        </w:numPr>
        <w:tabs>
          <w:tab w:val="left" w:pos="510"/>
          <w:tab w:val="left" w:pos="540"/>
          <w:tab w:val="left" w:pos="993"/>
        </w:tabs>
        <w:adjustRightInd w:val="0"/>
        <w:spacing w:line="360" w:lineRule="auto"/>
        <w:rPr>
          <w:rFonts w:hint="eastAsia" w:ascii="宋体" w:hAnsi="宋体" w:cs="仿宋_GB2312"/>
          <w:b/>
          <w:szCs w:val="28"/>
        </w:rPr>
      </w:pPr>
      <w:r>
        <w:rPr>
          <w:rFonts w:hint="eastAsia" w:ascii="宋体" w:hAnsi="宋体" w:cs="仿宋_GB2312"/>
          <w:b/>
          <w:szCs w:val="28"/>
        </w:rPr>
        <w:t>服务人员要求</w:t>
      </w:r>
    </w:p>
    <w:tbl>
      <w:tblPr>
        <w:tblStyle w:val="6"/>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848"/>
        <w:gridCol w:w="614"/>
        <w:gridCol w:w="3622"/>
        <w:gridCol w:w="4394"/>
      </w:tblGrid>
      <w:tr w14:paraId="6343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F3F3F3"/>
            <w:noWrap w:val="0"/>
            <w:vAlign w:val="center"/>
          </w:tcPr>
          <w:p w14:paraId="285C721F">
            <w:pPr>
              <w:pStyle w:val="11"/>
              <w:spacing w:line="276" w:lineRule="auto"/>
              <w:jc w:val="center"/>
              <w:rPr>
                <w:rFonts w:ascii="Times New Roman" w:hAnsi="Times New Roman"/>
                <w:b/>
                <w:szCs w:val="21"/>
              </w:rPr>
            </w:pPr>
            <w:r>
              <w:rPr>
                <w:rFonts w:ascii="Times New Roman" w:hAnsi="Times New Roman"/>
                <w:b/>
                <w:szCs w:val="21"/>
              </w:rPr>
              <w:t>序号</w:t>
            </w:r>
          </w:p>
        </w:tc>
        <w:tc>
          <w:tcPr>
            <w:tcW w:w="0" w:type="auto"/>
            <w:shd w:val="clear" w:color="auto" w:fill="F3F3F3"/>
            <w:noWrap w:val="0"/>
            <w:vAlign w:val="center"/>
          </w:tcPr>
          <w:p w14:paraId="2F61D0BC">
            <w:pPr>
              <w:pStyle w:val="11"/>
              <w:spacing w:line="276" w:lineRule="auto"/>
              <w:jc w:val="center"/>
              <w:rPr>
                <w:rFonts w:ascii="Times New Roman" w:hAnsi="Times New Roman"/>
                <w:b/>
                <w:szCs w:val="21"/>
              </w:rPr>
            </w:pPr>
            <w:r>
              <w:rPr>
                <w:rFonts w:ascii="Times New Roman" w:hAnsi="Times New Roman"/>
                <w:b/>
                <w:szCs w:val="21"/>
              </w:rPr>
              <w:t>岗位</w:t>
            </w:r>
          </w:p>
        </w:tc>
        <w:tc>
          <w:tcPr>
            <w:tcW w:w="0" w:type="auto"/>
            <w:shd w:val="clear" w:color="auto" w:fill="F3F3F3"/>
            <w:noWrap w:val="0"/>
            <w:vAlign w:val="center"/>
          </w:tcPr>
          <w:p w14:paraId="2FDA3346">
            <w:pPr>
              <w:pStyle w:val="11"/>
              <w:spacing w:line="276" w:lineRule="auto"/>
              <w:jc w:val="center"/>
              <w:rPr>
                <w:rFonts w:ascii="Times New Roman" w:hAnsi="Times New Roman"/>
                <w:b/>
                <w:szCs w:val="21"/>
              </w:rPr>
            </w:pPr>
            <w:r>
              <w:rPr>
                <w:rFonts w:ascii="Times New Roman" w:hAnsi="Times New Roman"/>
                <w:b/>
                <w:szCs w:val="21"/>
              </w:rPr>
              <w:t>人数</w:t>
            </w:r>
          </w:p>
        </w:tc>
        <w:tc>
          <w:tcPr>
            <w:tcW w:w="0" w:type="auto"/>
            <w:shd w:val="clear" w:color="auto" w:fill="F3F3F3"/>
            <w:noWrap w:val="0"/>
            <w:vAlign w:val="center"/>
          </w:tcPr>
          <w:p w14:paraId="03ED31B4">
            <w:pPr>
              <w:pStyle w:val="11"/>
              <w:spacing w:line="276" w:lineRule="auto"/>
              <w:jc w:val="center"/>
              <w:rPr>
                <w:rFonts w:ascii="Times New Roman" w:hAnsi="Times New Roman"/>
                <w:b/>
                <w:szCs w:val="21"/>
              </w:rPr>
            </w:pPr>
            <w:r>
              <w:rPr>
                <w:rFonts w:ascii="Times New Roman" w:hAnsi="Times New Roman"/>
                <w:b/>
                <w:szCs w:val="21"/>
              </w:rPr>
              <w:t>服务能力</w:t>
            </w:r>
          </w:p>
        </w:tc>
        <w:tc>
          <w:tcPr>
            <w:tcW w:w="0" w:type="auto"/>
            <w:shd w:val="clear" w:color="auto" w:fill="F3F3F3"/>
            <w:noWrap w:val="0"/>
            <w:vAlign w:val="center"/>
          </w:tcPr>
          <w:p w14:paraId="1B47A39C">
            <w:pPr>
              <w:pStyle w:val="11"/>
              <w:spacing w:line="276" w:lineRule="auto"/>
              <w:jc w:val="center"/>
              <w:rPr>
                <w:rFonts w:ascii="Times New Roman" w:hAnsi="Times New Roman"/>
                <w:b/>
                <w:szCs w:val="21"/>
              </w:rPr>
            </w:pPr>
            <w:r>
              <w:rPr>
                <w:rFonts w:ascii="Times New Roman" w:hAnsi="Times New Roman"/>
                <w:b/>
                <w:szCs w:val="21"/>
              </w:rPr>
              <w:t>服务内容</w:t>
            </w:r>
          </w:p>
        </w:tc>
      </w:tr>
      <w:tr w14:paraId="268F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0" w:type="auto"/>
            <w:shd w:val="clear" w:color="auto" w:fill="FFFFFF"/>
            <w:noWrap w:val="0"/>
            <w:vAlign w:val="center"/>
          </w:tcPr>
          <w:p w14:paraId="2ED58A9A">
            <w:pPr>
              <w:pStyle w:val="12"/>
              <w:numPr>
                <w:ilvl w:val="0"/>
                <w:numId w:val="4"/>
              </w:numPr>
              <w:tabs>
                <w:tab w:val="left" w:pos="180"/>
              </w:tabs>
              <w:spacing w:line="276" w:lineRule="auto"/>
              <w:ind w:firstLineChars="0"/>
              <w:jc w:val="center"/>
              <w:rPr>
                <w:bCs/>
                <w:szCs w:val="21"/>
              </w:rPr>
            </w:pPr>
          </w:p>
        </w:tc>
        <w:tc>
          <w:tcPr>
            <w:tcW w:w="0" w:type="auto"/>
            <w:shd w:val="clear" w:color="auto" w:fill="FFFFFF"/>
            <w:noWrap w:val="0"/>
            <w:vAlign w:val="center"/>
          </w:tcPr>
          <w:p w14:paraId="76009706">
            <w:pPr>
              <w:pStyle w:val="11"/>
              <w:spacing w:line="276" w:lineRule="auto"/>
              <w:jc w:val="center"/>
              <w:rPr>
                <w:rFonts w:ascii="Times New Roman" w:hAnsi="Times New Roman"/>
                <w:bCs/>
                <w:szCs w:val="21"/>
                <w:highlight w:val="white"/>
              </w:rPr>
            </w:pPr>
            <w:r>
              <w:rPr>
                <w:rFonts w:hint="eastAsia" w:ascii="Times New Roman" w:hAnsi="Times New Roman"/>
                <w:bCs/>
                <w:szCs w:val="21"/>
                <w:highlight w:val="white"/>
              </w:rPr>
              <w:t>项目经理</w:t>
            </w:r>
          </w:p>
        </w:tc>
        <w:tc>
          <w:tcPr>
            <w:tcW w:w="0" w:type="auto"/>
            <w:shd w:val="clear" w:color="auto" w:fill="FFFFFF"/>
            <w:noWrap w:val="0"/>
            <w:vAlign w:val="center"/>
          </w:tcPr>
          <w:p w14:paraId="0EFC7E3F">
            <w:pPr>
              <w:pStyle w:val="11"/>
              <w:spacing w:line="276" w:lineRule="auto"/>
              <w:jc w:val="center"/>
              <w:rPr>
                <w:rFonts w:ascii="Times New Roman" w:hAnsi="Times New Roman"/>
                <w:bCs/>
                <w:szCs w:val="21"/>
                <w:highlight w:val="white"/>
              </w:rPr>
            </w:pPr>
            <w:r>
              <w:rPr>
                <w:rFonts w:hint="eastAsia" w:ascii="Times New Roman" w:hAnsi="Times New Roman"/>
                <w:bCs/>
                <w:szCs w:val="21"/>
                <w:highlight w:val="white"/>
              </w:rPr>
              <w:t>1名</w:t>
            </w:r>
          </w:p>
        </w:tc>
        <w:tc>
          <w:tcPr>
            <w:tcW w:w="0" w:type="auto"/>
            <w:shd w:val="clear" w:color="auto" w:fill="FFFFFF"/>
            <w:noWrap w:val="0"/>
            <w:vAlign w:val="center"/>
          </w:tcPr>
          <w:p w14:paraId="7D16C7BE">
            <w:pPr>
              <w:pStyle w:val="11"/>
              <w:spacing w:line="276" w:lineRule="auto"/>
              <w:rPr>
                <w:rFonts w:hint="eastAsia" w:ascii="Times New Roman" w:hAnsi="Times New Roman"/>
                <w:szCs w:val="21"/>
              </w:rPr>
            </w:pPr>
            <w:r>
              <w:rPr>
                <w:rFonts w:ascii="Times New Roman" w:hAnsi="Times New Roman"/>
                <w:bCs/>
                <w:szCs w:val="21"/>
                <w:highlight w:val="white"/>
              </w:rPr>
              <w:t>需具有丰富的网络安全和攻防技术研究经验以及IT安全服务能力与经验，对信息安全有足够的敏感度。</w:t>
            </w:r>
          </w:p>
        </w:tc>
        <w:tc>
          <w:tcPr>
            <w:tcW w:w="0" w:type="auto"/>
            <w:shd w:val="clear" w:color="auto" w:fill="FFFFFF"/>
            <w:noWrap w:val="0"/>
            <w:vAlign w:val="center"/>
          </w:tcPr>
          <w:p w14:paraId="65ED9435">
            <w:pPr>
              <w:pStyle w:val="11"/>
              <w:spacing w:line="276" w:lineRule="auto"/>
              <w:rPr>
                <w:rFonts w:ascii="Times New Roman" w:hAnsi="Times New Roman"/>
                <w:bCs/>
                <w:szCs w:val="21"/>
              </w:rPr>
            </w:pPr>
            <w:r>
              <w:rPr>
                <w:rFonts w:ascii="Times New Roman" w:hAnsi="Times New Roman"/>
                <w:bCs/>
                <w:szCs w:val="21"/>
                <w:highlight w:val="white"/>
              </w:rPr>
              <w:t>提供整个项目的管理与支持服务。工作内容包含服务团队管理、技术支持、质量控制、运营项目的启动梳理、运营过程中的流程升级与交付质量控制。</w:t>
            </w:r>
          </w:p>
          <w:p w14:paraId="4B5B4F20">
            <w:pPr>
              <w:pStyle w:val="11"/>
              <w:spacing w:line="276" w:lineRule="auto"/>
              <w:rPr>
                <w:rFonts w:ascii="Times New Roman" w:hAnsi="Times New Roman"/>
                <w:bCs/>
                <w:szCs w:val="21"/>
                <w:highlight w:val="white"/>
              </w:rPr>
            </w:pPr>
            <w:r>
              <w:rPr>
                <w:rFonts w:ascii="Times New Roman" w:hAnsi="Times New Roman"/>
                <w:bCs/>
                <w:szCs w:val="21"/>
                <w:highlight w:val="white"/>
              </w:rPr>
              <w:t>提供信息安全咨询顾问服务</w:t>
            </w:r>
            <w:r>
              <w:rPr>
                <w:rFonts w:hint="eastAsia" w:ascii="Times New Roman" w:hAnsi="Times New Roman"/>
                <w:bCs/>
                <w:szCs w:val="21"/>
                <w:highlight w:val="white"/>
              </w:rPr>
              <w:t>，包括</w:t>
            </w:r>
            <w:r>
              <w:rPr>
                <w:rFonts w:ascii="Times New Roman" w:hAnsi="Times New Roman"/>
                <w:bCs/>
                <w:szCs w:val="21"/>
                <w:highlight w:val="white"/>
              </w:rPr>
              <w:t>信息系统的审计流程、IT治理和管理、信息系统的购置、开发和实施、信息系统的运营和业务恢复能力、信息资产的保护等。</w:t>
            </w:r>
          </w:p>
        </w:tc>
      </w:tr>
      <w:tr w14:paraId="0AE5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0" w:type="auto"/>
            <w:shd w:val="clear" w:color="auto" w:fill="FFFFFF"/>
            <w:noWrap w:val="0"/>
            <w:vAlign w:val="center"/>
          </w:tcPr>
          <w:p w14:paraId="24641275">
            <w:pPr>
              <w:pStyle w:val="12"/>
              <w:numPr>
                <w:ilvl w:val="0"/>
                <w:numId w:val="4"/>
              </w:numPr>
              <w:tabs>
                <w:tab w:val="left" w:pos="180"/>
              </w:tabs>
              <w:spacing w:line="276" w:lineRule="auto"/>
              <w:ind w:firstLineChars="0"/>
              <w:jc w:val="center"/>
              <w:rPr>
                <w:bCs/>
                <w:szCs w:val="21"/>
              </w:rPr>
            </w:pPr>
          </w:p>
        </w:tc>
        <w:tc>
          <w:tcPr>
            <w:tcW w:w="0" w:type="auto"/>
            <w:shd w:val="clear" w:color="auto" w:fill="FFFFFF"/>
            <w:noWrap w:val="0"/>
            <w:vAlign w:val="center"/>
          </w:tcPr>
          <w:p w14:paraId="1DD7ABFE">
            <w:pPr>
              <w:pStyle w:val="11"/>
              <w:spacing w:line="276" w:lineRule="auto"/>
              <w:jc w:val="center"/>
              <w:rPr>
                <w:rFonts w:ascii="Times New Roman" w:hAnsi="Times New Roman"/>
                <w:szCs w:val="21"/>
              </w:rPr>
            </w:pPr>
            <w:r>
              <w:rPr>
                <w:rFonts w:hint="eastAsia" w:ascii="Times New Roman" w:hAnsi="Times New Roman"/>
                <w:szCs w:val="21"/>
              </w:rPr>
              <w:t>远程安全运营团队成员</w:t>
            </w:r>
          </w:p>
        </w:tc>
        <w:tc>
          <w:tcPr>
            <w:tcW w:w="0" w:type="auto"/>
            <w:shd w:val="clear" w:color="auto" w:fill="FFFFFF"/>
            <w:noWrap w:val="0"/>
            <w:vAlign w:val="center"/>
          </w:tcPr>
          <w:p w14:paraId="0BD9DE56">
            <w:pPr>
              <w:pStyle w:val="11"/>
              <w:spacing w:line="276" w:lineRule="auto"/>
              <w:jc w:val="center"/>
              <w:rPr>
                <w:rFonts w:ascii="Times New Roman" w:hAnsi="Times New Roman"/>
                <w:szCs w:val="21"/>
                <w:lang w:val="en-GB"/>
              </w:rPr>
            </w:pPr>
            <w:r>
              <w:rPr>
                <w:rFonts w:hint="eastAsia" w:ascii="Times New Roman" w:hAnsi="Times New Roman"/>
                <w:bCs/>
                <w:szCs w:val="21"/>
                <w:highlight w:val="white"/>
                <w:lang w:val="en-US" w:eastAsia="zh-CN"/>
              </w:rPr>
              <w:t>不少于</w:t>
            </w:r>
            <w:r>
              <w:rPr>
                <w:rFonts w:ascii="Times New Roman" w:hAnsi="Times New Roman"/>
                <w:bCs/>
                <w:szCs w:val="21"/>
                <w:highlight w:val="white"/>
              </w:rPr>
              <w:t>3名</w:t>
            </w:r>
          </w:p>
        </w:tc>
        <w:tc>
          <w:tcPr>
            <w:tcW w:w="0" w:type="auto"/>
            <w:shd w:val="clear" w:color="auto" w:fill="FFFFFF"/>
            <w:noWrap w:val="0"/>
            <w:vAlign w:val="center"/>
          </w:tcPr>
          <w:p w14:paraId="223033A8">
            <w:pPr>
              <w:pStyle w:val="11"/>
              <w:spacing w:line="276" w:lineRule="auto"/>
              <w:rPr>
                <w:rFonts w:ascii="Times New Roman" w:hAnsi="Times New Roman"/>
                <w:szCs w:val="21"/>
              </w:rPr>
            </w:pPr>
            <w:r>
              <w:rPr>
                <w:rFonts w:ascii="Times New Roman" w:hAnsi="Times New Roman"/>
                <w:bCs/>
                <w:szCs w:val="21"/>
                <w:highlight w:val="white"/>
              </w:rPr>
              <w:t>需具有丰富的网络安全和攻防技术研究经验以及IT安全服务能力与经验，对信息安全有足够的敏感度。</w:t>
            </w:r>
          </w:p>
        </w:tc>
        <w:tc>
          <w:tcPr>
            <w:tcW w:w="0" w:type="auto"/>
            <w:shd w:val="clear" w:color="auto" w:fill="FFFFFF"/>
            <w:noWrap w:val="0"/>
            <w:vAlign w:val="center"/>
          </w:tcPr>
          <w:p w14:paraId="09F08F52">
            <w:pPr>
              <w:pStyle w:val="13"/>
              <w:spacing w:line="276" w:lineRule="auto"/>
              <w:rPr>
                <w:bCs/>
                <w:szCs w:val="21"/>
              </w:rPr>
            </w:pPr>
            <w:r>
              <w:rPr>
                <w:rFonts w:hint="eastAsia"/>
                <w:bCs/>
                <w:szCs w:val="21"/>
                <w:highlight w:val="white"/>
              </w:rPr>
              <w:t>（1）负责安全运营平台的日产维护与巡检。定期分析网络中的安全态势生成每月、每季度的安全态势报告</w:t>
            </w:r>
            <w:r>
              <w:rPr>
                <w:bCs/>
                <w:szCs w:val="21"/>
                <w:highlight w:val="white"/>
              </w:rPr>
              <w:t>。</w:t>
            </w:r>
          </w:p>
          <w:p w14:paraId="69911785">
            <w:pPr>
              <w:pStyle w:val="13"/>
              <w:spacing w:line="276" w:lineRule="auto"/>
              <w:rPr>
                <w:szCs w:val="21"/>
                <w:lang w:val="en-GB"/>
              </w:rPr>
            </w:pPr>
            <w:r>
              <w:rPr>
                <w:rFonts w:hint="eastAsia"/>
                <w:szCs w:val="21"/>
                <w:highlight w:val="white"/>
              </w:rPr>
              <w:t>（2）提供7天×24小时远程运营值班</w:t>
            </w:r>
            <w:r>
              <w:rPr>
                <w:szCs w:val="21"/>
                <w:highlight w:val="white"/>
              </w:rPr>
              <w:t>。</w:t>
            </w:r>
          </w:p>
          <w:p w14:paraId="144427A8">
            <w:pPr>
              <w:pStyle w:val="13"/>
              <w:spacing w:line="276" w:lineRule="auto"/>
              <w:rPr>
                <w:szCs w:val="21"/>
                <w:lang w:val="en-GB"/>
              </w:rPr>
            </w:pPr>
            <w:r>
              <w:rPr>
                <w:rFonts w:hint="eastAsia"/>
                <w:szCs w:val="21"/>
                <w:highlight w:val="white"/>
                <w:lang w:val="en-GB"/>
              </w:rPr>
              <w:t>（3）</w:t>
            </w:r>
            <w:r>
              <w:rPr>
                <w:szCs w:val="21"/>
                <w:highlight w:val="white"/>
              </w:rPr>
              <w:t>提供</w:t>
            </w:r>
            <w:r>
              <w:rPr>
                <w:rFonts w:hint="eastAsia"/>
                <w:szCs w:val="21"/>
                <w:highlight w:val="white"/>
              </w:rPr>
              <w:t>安全事件告警下发、处置跟踪闭环等工作</w:t>
            </w:r>
            <w:r>
              <w:rPr>
                <w:szCs w:val="21"/>
                <w:highlight w:val="white"/>
              </w:rPr>
              <w:t>。</w:t>
            </w:r>
          </w:p>
        </w:tc>
      </w:tr>
      <w:tr w14:paraId="0F49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0" w:type="auto"/>
            <w:shd w:val="clear" w:color="auto" w:fill="FFFFFF"/>
            <w:noWrap w:val="0"/>
            <w:vAlign w:val="center"/>
          </w:tcPr>
          <w:p w14:paraId="06095717">
            <w:pPr>
              <w:pStyle w:val="12"/>
              <w:numPr>
                <w:ilvl w:val="0"/>
                <w:numId w:val="4"/>
              </w:numPr>
              <w:tabs>
                <w:tab w:val="left" w:pos="180"/>
              </w:tabs>
              <w:spacing w:line="276" w:lineRule="auto"/>
              <w:ind w:firstLineChars="0"/>
              <w:jc w:val="center"/>
              <w:rPr>
                <w:bCs/>
                <w:szCs w:val="21"/>
              </w:rPr>
            </w:pPr>
          </w:p>
        </w:tc>
        <w:tc>
          <w:tcPr>
            <w:tcW w:w="0" w:type="auto"/>
            <w:shd w:val="clear" w:color="auto" w:fill="FFFFFF"/>
            <w:noWrap w:val="0"/>
            <w:vAlign w:val="center"/>
          </w:tcPr>
          <w:p w14:paraId="6E7561C3">
            <w:pPr>
              <w:pStyle w:val="11"/>
              <w:spacing w:line="276" w:lineRule="auto"/>
              <w:jc w:val="center"/>
              <w:rPr>
                <w:rFonts w:ascii="Times New Roman" w:hAnsi="Times New Roman"/>
                <w:szCs w:val="21"/>
              </w:rPr>
            </w:pPr>
            <w:r>
              <w:rPr>
                <w:rFonts w:hint="eastAsia" w:ascii="Times New Roman" w:hAnsi="Times New Roman"/>
                <w:szCs w:val="21"/>
              </w:rPr>
              <w:t>驻场服务工程师</w:t>
            </w:r>
          </w:p>
        </w:tc>
        <w:tc>
          <w:tcPr>
            <w:tcW w:w="0" w:type="auto"/>
            <w:shd w:val="clear" w:color="auto" w:fill="FFFFFF"/>
            <w:noWrap w:val="0"/>
            <w:vAlign w:val="center"/>
          </w:tcPr>
          <w:p w14:paraId="12021E62">
            <w:pPr>
              <w:pStyle w:val="11"/>
              <w:spacing w:line="276" w:lineRule="auto"/>
              <w:jc w:val="center"/>
              <w:rPr>
                <w:rFonts w:hint="eastAsia" w:ascii="Times New Roman" w:hAnsi="Times New Roman"/>
                <w:bCs/>
                <w:szCs w:val="21"/>
                <w:highlight w:val="white"/>
              </w:rPr>
            </w:pPr>
            <w:r>
              <w:rPr>
                <w:rFonts w:hint="eastAsia" w:ascii="Times New Roman" w:hAnsi="Times New Roman"/>
                <w:bCs/>
                <w:szCs w:val="21"/>
                <w:highlight w:val="white"/>
                <w:lang w:val="en-US" w:eastAsia="zh-CN"/>
              </w:rPr>
              <w:t>不少于</w:t>
            </w:r>
            <w:r>
              <w:rPr>
                <w:rFonts w:hint="eastAsia" w:ascii="Times New Roman" w:hAnsi="Times New Roman"/>
                <w:bCs/>
                <w:szCs w:val="21"/>
                <w:highlight w:val="white"/>
              </w:rPr>
              <w:t>1名</w:t>
            </w:r>
          </w:p>
        </w:tc>
        <w:tc>
          <w:tcPr>
            <w:tcW w:w="0" w:type="auto"/>
            <w:shd w:val="clear" w:color="auto" w:fill="FFFFFF"/>
            <w:noWrap w:val="0"/>
            <w:vAlign w:val="center"/>
          </w:tcPr>
          <w:p w14:paraId="62C97841">
            <w:pPr>
              <w:pStyle w:val="11"/>
              <w:spacing w:line="276" w:lineRule="auto"/>
              <w:rPr>
                <w:rFonts w:hint="eastAsia" w:ascii="Times New Roman" w:hAnsi="Times New Roman"/>
                <w:bCs/>
                <w:szCs w:val="21"/>
              </w:rPr>
            </w:pPr>
            <w:r>
              <w:rPr>
                <w:rFonts w:hint="eastAsia" w:ascii="Times New Roman" w:hAnsi="Times New Roman"/>
                <w:bCs/>
                <w:szCs w:val="21"/>
              </w:rPr>
              <w:t>1.具有安全及服务类管理和处理相关工作或培训经验；熟悉常见的政企内部安全、互联网安全防御及保障技术；熟悉各类安全工具的使用和结果分析。</w:t>
            </w:r>
          </w:p>
          <w:p w14:paraId="556B3182">
            <w:pPr>
              <w:pStyle w:val="11"/>
              <w:spacing w:line="276" w:lineRule="auto"/>
              <w:rPr>
                <w:rFonts w:ascii="Times New Roman" w:hAnsi="Times New Roman"/>
                <w:bCs/>
                <w:szCs w:val="21"/>
                <w:highlight w:val="white"/>
              </w:rPr>
            </w:pPr>
            <w:r>
              <w:rPr>
                <w:rFonts w:hint="eastAsia" w:ascii="Times New Roman" w:hAnsi="Times New Roman"/>
                <w:bCs/>
                <w:szCs w:val="21"/>
              </w:rPr>
              <w:t>2.具备大专或以上学历和扎实的基础网络知识，需要熟悉路由器，交换机，防火墙等基本网络设备的操作。</w:t>
            </w:r>
          </w:p>
        </w:tc>
        <w:tc>
          <w:tcPr>
            <w:tcW w:w="0" w:type="auto"/>
            <w:shd w:val="clear" w:color="auto" w:fill="FFFFFF"/>
            <w:noWrap w:val="0"/>
            <w:vAlign w:val="center"/>
          </w:tcPr>
          <w:p w14:paraId="075A2F02">
            <w:pPr>
              <w:pStyle w:val="13"/>
              <w:spacing w:line="276" w:lineRule="auto"/>
              <w:rPr>
                <w:rFonts w:hint="eastAsia"/>
                <w:bCs/>
                <w:szCs w:val="21"/>
                <w:highlight w:val="white"/>
              </w:rPr>
            </w:pPr>
            <w:r>
              <w:rPr>
                <w:rFonts w:hint="eastAsia"/>
                <w:bCs/>
                <w:szCs w:val="21"/>
              </w:rPr>
              <w:t xml:space="preserve">（1）提供安全数据采集与管理服务、态势可视化服务、安全数据分析服务、资产管理服务、威胁检测与威胁情报服务、工单处置服务、告警与报表管理服务、平台系统管理维护服务。 </w:t>
            </w:r>
          </w:p>
        </w:tc>
      </w:tr>
    </w:tbl>
    <w:p w14:paraId="7B5A9FB2">
      <w:pPr>
        <w:tabs>
          <w:tab w:val="left" w:pos="510"/>
          <w:tab w:val="left" w:pos="540"/>
        </w:tabs>
        <w:adjustRightInd w:val="0"/>
        <w:spacing w:line="360" w:lineRule="auto"/>
        <w:ind w:firstLine="422" w:firstLineChars="200"/>
        <w:rPr>
          <w:rFonts w:ascii="宋体" w:hAnsi="宋体"/>
          <w:lang w:val="en-GB"/>
        </w:rPr>
      </w:pPr>
      <w:r>
        <w:rPr>
          <w:rFonts w:hint="eastAsia" w:ascii="宋体" w:hAnsi="宋体"/>
          <w:b/>
          <w:lang w:val="en-GB"/>
        </w:rPr>
        <w:t>2.12.3.</w:t>
      </w:r>
      <w:r>
        <w:rPr>
          <w:rFonts w:hint="eastAsia" w:ascii="宋体" w:hAnsi="宋体"/>
          <w:lang w:val="en-GB"/>
        </w:rPr>
        <w:t>本项目中的态势感知与运营平台为威胁检测的重要工具，需要服务工具厂商要有较强的漏洞挖掘能力，需要有独立的漏洞挖掘团队，确保</w:t>
      </w:r>
      <w:r>
        <w:rPr>
          <w:rFonts w:hint="eastAsia"/>
        </w:rPr>
        <w:t>态势感知与运营平台</w:t>
      </w:r>
      <w:r>
        <w:rPr>
          <w:rFonts w:hint="eastAsia" w:ascii="宋体" w:hAnsi="宋体"/>
          <w:lang w:val="en-GB"/>
        </w:rPr>
        <w:t>上的漏洞规则库需要保证有持续更新的能力，并且保证漏洞规则大部分是经过人工校验的高可靠的漏洞信息。</w:t>
      </w:r>
    </w:p>
    <w:p w14:paraId="16F2FE96">
      <w:pPr>
        <w:tabs>
          <w:tab w:val="left" w:pos="510"/>
          <w:tab w:val="left" w:pos="540"/>
        </w:tabs>
        <w:adjustRightInd w:val="0"/>
        <w:spacing w:line="360" w:lineRule="auto"/>
        <w:ind w:firstLine="420" w:firstLineChars="200"/>
        <w:rPr>
          <w:rFonts w:ascii="宋体" w:hAnsi="宋体"/>
          <w:lang w:val="en-GB"/>
        </w:rPr>
      </w:pPr>
      <w:r>
        <w:rPr>
          <w:rFonts w:hint="eastAsia" w:ascii="宋体" w:hAnsi="宋体"/>
          <w:lang w:val="en-GB"/>
        </w:rPr>
        <w:t>为保证核心产品</w:t>
      </w:r>
      <w:r>
        <w:rPr>
          <w:rFonts w:hint="eastAsia"/>
        </w:rPr>
        <w:t>态势感知与运营平台</w:t>
      </w:r>
      <w:r>
        <w:rPr>
          <w:rFonts w:hint="eastAsia" w:ascii="宋体" w:hAnsi="宋体"/>
          <w:lang w:val="en-GB"/>
        </w:rPr>
        <w:t>的漏洞检测能力，产品应配自建漏洞收集平台，要求具有公开的自建漏洞信息收集平台并已获得《计算机软件著作权登记证书》，且具有平台白帽专家。</w:t>
      </w:r>
    </w:p>
    <w:p w14:paraId="46FE043A">
      <w:pPr>
        <w:tabs>
          <w:tab w:val="left" w:pos="510"/>
          <w:tab w:val="left" w:pos="540"/>
        </w:tabs>
        <w:adjustRightInd w:val="0"/>
        <w:spacing w:line="360" w:lineRule="auto"/>
        <w:ind w:firstLine="422" w:firstLineChars="200"/>
        <w:rPr>
          <w:rFonts w:ascii="宋体" w:hAnsi="宋体"/>
          <w:lang w:val="en-GB"/>
        </w:rPr>
      </w:pPr>
      <w:r>
        <w:rPr>
          <w:rFonts w:hint="eastAsia" w:ascii="宋体" w:hAnsi="宋体"/>
          <w:b/>
          <w:lang w:val="en-GB"/>
        </w:rPr>
        <w:t>2.12.4.</w:t>
      </w:r>
      <w:r>
        <w:rPr>
          <w:rFonts w:hint="eastAsia" w:ascii="宋体" w:hAnsi="宋体"/>
          <w:lang w:val="en-GB"/>
        </w:rPr>
        <w:t>为了满足学校现有安全运营的管理工作要求，保证安全运营工作的一致性，投标人提供的态势感知与运营平台需要与采购人现有边界防火墙、</w:t>
      </w:r>
      <w:r>
        <w:rPr>
          <w:rFonts w:ascii="宋体" w:hAnsi="宋体"/>
          <w:lang w:val="en-GB"/>
        </w:rPr>
        <w:t>WAF</w:t>
      </w:r>
      <w:r>
        <w:rPr>
          <w:rFonts w:hint="eastAsia" w:ascii="宋体" w:hAnsi="宋体"/>
          <w:lang w:val="en-GB"/>
        </w:rPr>
        <w:t>设备、服务器安全管理系统形成安全联动，进行快速的响应处置。对接要求如下：</w:t>
      </w:r>
    </w:p>
    <w:p w14:paraId="41D08E9A">
      <w:pPr>
        <w:tabs>
          <w:tab w:val="left" w:pos="510"/>
          <w:tab w:val="left" w:pos="540"/>
        </w:tabs>
        <w:adjustRightInd w:val="0"/>
        <w:spacing w:line="360" w:lineRule="auto"/>
        <w:ind w:firstLine="420" w:firstLineChars="200"/>
        <w:rPr>
          <w:rFonts w:ascii="宋体" w:hAnsi="宋体"/>
          <w:lang w:val="en-GB"/>
        </w:rPr>
      </w:pPr>
      <w:r>
        <w:rPr>
          <w:rFonts w:hint="eastAsia" w:ascii="宋体" w:hAnsi="宋体"/>
          <w:lang w:val="en-GB"/>
        </w:rPr>
        <w:t>（1）本次项目态势感知与运营平台通过API接口与现有WAF设备形成安全联动，实现下发阻断策略，命令包含：阻断指定外部IP对内部的访问、阻断内部对指定外部IP的访问。如需要定制开发，中标人承担所有定制开发费用。</w:t>
      </w:r>
    </w:p>
    <w:p w14:paraId="12C7EBE5">
      <w:pPr>
        <w:tabs>
          <w:tab w:val="left" w:pos="510"/>
          <w:tab w:val="left" w:pos="540"/>
        </w:tabs>
        <w:adjustRightInd w:val="0"/>
        <w:spacing w:line="360" w:lineRule="auto"/>
        <w:ind w:firstLine="420" w:firstLineChars="200"/>
        <w:rPr>
          <w:rFonts w:ascii="宋体" w:hAnsi="宋体"/>
          <w:lang w:val="en-GB"/>
        </w:rPr>
      </w:pPr>
      <w:r>
        <w:rPr>
          <w:rFonts w:hint="eastAsia" w:ascii="宋体" w:hAnsi="宋体"/>
          <w:lang w:val="en-GB"/>
        </w:rPr>
        <w:t>（2）可对接现有边界防火墙下发联动处置命令，命令包含：阻断内部对指定外部IP的访问、阻断指定外部IP对内部的访问、阻断指定内部IP对外部的访问、阻断内部对指定URL的访问、阻断内部对指定域名的访问、审计内部对指定外部IP的访问、审计内部对指定域名的访问、审计内部对指定URL的访问；</w:t>
      </w:r>
    </w:p>
    <w:p w14:paraId="19F827A3">
      <w:pPr>
        <w:tabs>
          <w:tab w:val="left" w:pos="510"/>
          <w:tab w:val="left" w:pos="540"/>
        </w:tabs>
        <w:adjustRightInd w:val="0"/>
        <w:spacing w:line="360" w:lineRule="auto"/>
        <w:ind w:firstLine="420" w:firstLineChars="200"/>
        <w:rPr>
          <w:rFonts w:ascii="宋体" w:hAnsi="宋体"/>
          <w:lang w:val="en-GB"/>
        </w:rPr>
      </w:pPr>
      <w:r>
        <w:rPr>
          <w:rFonts w:hint="eastAsia" w:ascii="宋体" w:hAnsi="宋体"/>
          <w:lang w:val="en-GB"/>
        </w:rPr>
        <w:t>（3）态势感知与运营平台支持对现有服务器安全管理系统下发联动处置命令，命令包括：禁止失陷主机访问其他主机、禁止其他服务器访问失陷主机、隔离指定主机、隔离指定主机恶意文件、隔离全网主机恶意文件、结束指定主机恶意进程。</w:t>
      </w:r>
    </w:p>
    <w:p w14:paraId="6A45ACCC">
      <w:pPr>
        <w:tabs>
          <w:tab w:val="left" w:pos="510"/>
          <w:tab w:val="left" w:pos="540"/>
        </w:tabs>
        <w:adjustRightInd w:val="0"/>
        <w:spacing w:line="360" w:lineRule="auto"/>
        <w:ind w:firstLine="420" w:firstLineChars="200"/>
        <w:rPr>
          <w:lang w:val="en-GB"/>
        </w:rPr>
      </w:pPr>
      <w:r>
        <w:rPr>
          <w:rFonts w:hint="eastAsia" w:ascii="宋体" w:hAnsi="宋体"/>
          <w:lang w:val="en-GB"/>
        </w:rPr>
        <w:t>（</w:t>
      </w:r>
      <w:r>
        <w:rPr>
          <w:rFonts w:ascii="宋体" w:hAnsi="宋体"/>
          <w:lang w:val="en-GB"/>
        </w:rPr>
        <w:t>4</w:t>
      </w:r>
      <w:r>
        <w:rPr>
          <w:rFonts w:hint="eastAsia" w:ascii="宋体" w:hAnsi="宋体"/>
          <w:lang w:val="en-GB"/>
        </w:rPr>
        <w:t>）态势感知与运营平台需要与采购人现有边界防火墙、</w:t>
      </w:r>
      <w:r>
        <w:rPr>
          <w:rFonts w:ascii="宋体" w:hAnsi="宋体"/>
          <w:lang w:val="en-GB"/>
        </w:rPr>
        <w:t>WAF</w:t>
      </w:r>
      <w:r>
        <w:rPr>
          <w:rFonts w:hint="eastAsia" w:ascii="宋体" w:hAnsi="宋体"/>
          <w:lang w:val="en-GB"/>
        </w:rPr>
        <w:t>设备、服务器安全管理系统设备的对接清单：</w:t>
      </w:r>
    </w:p>
    <w:tbl>
      <w:tblPr>
        <w:tblStyle w:val="6"/>
        <w:tblW w:w="5000" w:type="pct"/>
        <w:tblInd w:w="0" w:type="dxa"/>
        <w:tblLayout w:type="autofit"/>
        <w:tblCellMar>
          <w:top w:w="0" w:type="dxa"/>
          <w:left w:w="108" w:type="dxa"/>
          <w:bottom w:w="0" w:type="dxa"/>
          <w:right w:w="108" w:type="dxa"/>
        </w:tblCellMar>
      </w:tblPr>
      <w:tblGrid>
        <w:gridCol w:w="1227"/>
        <w:gridCol w:w="3423"/>
        <w:gridCol w:w="3872"/>
      </w:tblGrid>
      <w:tr w14:paraId="63CBD59B">
        <w:tblPrEx>
          <w:tblCellMar>
            <w:top w:w="0" w:type="dxa"/>
            <w:left w:w="108" w:type="dxa"/>
            <w:bottom w:w="0" w:type="dxa"/>
            <w:right w:w="108" w:type="dxa"/>
          </w:tblCellMar>
        </w:tblPrEx>
        <w:trPr>
          <w:trHeight w:val="280" w:hRule="atLeast"/>
        </w:trPr>
        <w:tc>
          <w:tcPr>
            <w:tcW w:w="720" w:type="pct"/>
            <w:tcBorders>
              <w:top w:val="single" w:color="auto" w:sz="4" w:space="0"/>
              <w:left w:val="single" w:color="auto" w:sz="4" w:space="0"/>
              <w:bottom w:val="single" w:color="auto" w:sz="4" w:space="0"/>
              <w:right w:val="single" w:color="auto" w:sz="4" w:space="0"/>
            </w:tcBorders>
            <w:shd w:val="clear" w:color="000000" w:fill="F3F3F3"/>
            <w:noWrap w:val="0"/>
            <w:vAlign w:val="center"/>
          </w:tcPr>
          <w:p w14:paraId="5EDABD50">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08" w:type="pct"/>
            <w:tcBorders>
              <w:top w:val="single" w:color="auto" w:sz="4" w:space="0"/>
              <w:left w:val="nil"/>
              <w:bottom w:val="single" w:color="auto" w:sz="4" w:space="0"/>
              <w:right w:val="single" w:color="auto" w:sz="4" w:space="0"/>
            </w:tcBorders>
            <w:shd w:val="clear" w:color="000000" w:fill="F3F3F3"/>
            <w:noWrap w:val="0"/>
            <w:vAlign w:val="center"/>
          </w:tcPr>
          <w:p w14:paraId="34846BC5">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设备名称</w:t>
            </w:r>
          </w:p>
        </w:tc>
        <w:tc>
          <w:tcPr>
            <w:tcW w:w="2271" w:type="pct"/>
            <w:tcBorders>
              <w:top w:val="single" w:color="auto" w:sz="4" w:space="0"/>
              <w:left w:val="nil"/>
              <w:bottom w:val="single" w:color="auto" w:sz="4" w:space="0"/>
              <w:right w:val="single" w:color="auto" w:sz="4" w:space="0"/>
            </w:tcBorders>
            <w:shd w:val="clear" w:color="000000" w:fill="F3F3F3"/>
            <w:noWrap w:val="0"/>
            <w:vAlign w:val="center"/>
          </w:tcPr>
          <w:p w14:paraId="34660E45">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设备型号</w:t>
            </w:r>
          </w:p>
        </w:tc>
      </w:tr>
      <w:tr w14:paraId="331DCE9C">
        <w:tblPrEx>
          <w:tblCellMar>
            <w:top w:w="0" w:type="dxa"/>
            <w:left w:w="108" w:type="dxa"/>
            <w:bottom w:w="0" w:type="dxa"/>
            <w:right w:w="108" w:type="dxa"/>
          </w:tblCellMar>
        </w:tblPrEx>
        <w:trPr>
          <w:trHeight w:val="280" w:hRule="atLeast"/>
        </w:trPr>
        <w:tc>
          <w:tcPr>
            <w:tcW w:w="720" w:type="pct"/>
            <w:tcBorders>
              <w:top w:val="nil"/>
              <w:left w:val="single" w:color="auto" w:sz="4" w:space="0"/>
              <w:bottom w:val="single" w:color="auto" w:sz="4" w:space="0"/>
              <w:right w:val="single" w:color="auto" w:sz="4" w:space="0"/>
            </w:tcBorders>
            <w:noWrap w:val="0"/>
            <w:vAlign w:val="center"/>
          </w:tcPr>
          <w:p w14:paraId="68AC5569">
            <w:pPr>
              <w:widowControl/>
              <w:jc w:val="center"/>
              <w:rPr>
                <w:rFonts w:hint="eastAsia" w:ascii="宋体" w:hAnsi="宋体" w:cs="宋体"/>
                <w:color w:val="000000"/>
                <w:kern w:val="0"/>
                <w:szCs w:val="21"/>
              </w:rPr>
            </w:pPr>
            <w:r>
              <w:rPr>
                <w:rFonts w:hint="eastAsia" w:ascii="宋体" w:hAnsi="宋体" w:cs="宋体"/>
                <w:color w:val="000000"/>
                <w:kern w:val="0"/>
                <w:szCs w:val="21"/>
                <w:lang w:val="en-GB"/>
              </w:rPr>
              <w:t>1</w:t>
            </w:r>
          </w:p>
        </w:tc>
        <w:tc>
          <w:tcPr>
            <w:tcW w:w="2008" w:type="pct"/>
            <w:tcBorders>
              <w:top w:val="nil"/>
              <w:left w:val="nil"/>
              <w:bottom w:val="single" w:color="auto" w:sz="4" w:space="0"/>
              <w:right w:val="single" w:color="auto" w:sz="4" w:space="0"/>
            </w:tcBorders>
            <w:noWrap w:val="0"/>
            <w:vAlign w:val="center"/>
          </w:tcPr>
          <w:p w14:paraId="5E73AE75">
            <w:pPr>
              <w:widowControl/>
              <w:jc w:val="center"/>
              <w:rPr>
                <w:rFonts w:hint="eastAsia" w:ascii="宋体" w:hAnsi="宋体" w:cs="宋体"/>
                <w:color w:val="000000"/>
                <w:kern w:val="0"/>
                <w:szCs w:val="21"/>
              </w:rPr>
            </w:pPr>
            <w:r>
              <w:rPr>
                <w:rFonts w:hint="eastAsia" w:ascii="宋体" w:hAnsi="宋体" w:cs="宋体"/>
                <w:color w:val="000000"/>
                <w:kern w:val="0"/>
                <w:szCs w:val="21"/>
              </w:rPr>
              <w:t>边界防火墙</w:t>
            </w:r>
          </w:p>
        </w:tc>
        <w:tc>
          <w:tcPr>
            <w:tcW w:w="2271" w:type="pct"/>
            <w:tcBorders>
              <w:top w:val="nil"/>
              <w:left w:val="nil"/>
              <w:bottom w:val="single" w:color="auto" w:sz="4" w:space="0"/>
              <w:right w:val="single" w:color="auto" w:sz="4" w:space="0"/>
            </w:tcBorders>
            <w:noWrap/>
            <w:vAlign w:val="center"/>
          </w:tcPr>
          <w:p w14:paraId="257CF82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网神 SecGate</w:t>
            </w:r>
            <w:r>
              <w:rPr>
                <w:rFonts w:ascii="等线" w:hAnsi="等线" w:eastAsia="等线" w:cs="宋体"/>
                <w:color w:val="000000"/>
                <w:kern w:val="0"/>
                <w:sz w:val="22"/>
                <w:szCs w:val="22"/>
              </w:rPr>
              <w:t xml:space="preserve"> </w:t>
            </w:r>
            <w:r>
              <w:rPr>
                <w:rFonts w:hint="eastAsia" w:ascii="等线" w:hAnsi="等线" w:eastAsia="等线" w:cs="宋体"/>
                <w:color w:val="000000"/>
                <w:kern w:val="0"/>
                <w:sz w:val="22"/>
                <w:szCs w:val="22"/>
              </w:rPr>
              <w:t>3600</w:t>
            </w:r>
          </w:p>
        </w:tc>
      </w:tr>
      <w:tr w14:paraId="5773A5F1">
        <w:tblPrEx>
          <w:tblCellMar>
            <w:top w:w="0" w:type="dxa"/>
            <w:left w:w="108" w:type="dxa"/>
            <w:bottom w:w="0" w:type="dxa"/>
            <w:right w:w="108" w:type="dxa"/>
          </w:tblCellMar>
        </w:tblPrEx>
        <w:trPr>
          <w:trHeight w:val="280" w:hRule="atLeast"/>
        </w:trPr>
        <w:tc>
          <w:tcPr>
            <w:tcW w:w="720" w:type="pct"/>
            <w:tcBorders>
              <w:top w:val="nil"/>
              <w:left w:val="single" w:color="auto" w:sz="4" w:space="0"/>
              <w:bottom w:val="single" w:color="auto" w:sz="4" w:space="0"/>
              <w:right w:val="single" w:color="auto" w:sz="4" w:space="0"/>
            </w:tcBorders>
            <w:noWrap w:val="0"/>
            <w:vAlign w:val="center"/>
          </w:tcPr>
          <w:p w14:paraId="115166B3">
            <w:pPr>
              <w:widowControl/>
              <w:jc w:val="center"/>
              <w:rPr>
                <w:rFonts w:hint="eastAsia" w:ascii="宋体" w:hAnsi="宋体" w:cs="宋体"/>
                <w:color w:val="000000"/>
                <w:kern w:val="0"/>
                <w:szCs w:val="21"/>
              </w:rPr>
            </w:pPr>
            <w:r>
              <w:rPr>
                <w:rFonts w:hint="eastAsia" w:ascii="宋体" w:hAnsi="宋体" w:cs="宋体"/>
                <w:color w:val="000000"/>
                <w:kern w:val="0"/>
                <w:szCs w:val="21"/>
                <w:lang w:val="en-GB"/>
              </w:rPr>
              <w:t>2</w:t>
            </w:r>
          </w:p>
        </w:tc>
        <w:tc>
          <w:tcPr>
            <w:tcW w:w="2008" w:type="pct"/>
            <w:tcBorders>
              <w:top w:val="nil"/>
              <w:left w:val="nil"/>
              <w:bottom w:val="single" w:color="auto" w:sz="4" w:space="0"/>
              <w:right w:val="single" w:color="auto" w:sz="4" w:space="0"/>
            </w:tcBorders>
            <w:noWrap w:val="0"/>
            <w:vAlign w:val="center"/>
          </w:tcPr>
          <w:p w14:paraId="040C1B1F">
            <w:pPr>
              <w:widowControl/>
              <w:jc w:val="center"/>
              <w:rPr>
                <w:rFonts w:hint="eastAsia" w:ascii="宋体" w:hAnsi="宋体" w:cs="宋体"/>
                <w:color w:val="000000"/>
                <w:kern w:val="0"/>
                <w:szCs w:val="21"/>
              </w:rPr>
            </w:pPr>
            <w:r>
              <w:rPr>
                <w:rFonts w:hint="eastAsia" w:ascii="宋体" w:hAnsi="宋体" w:cs="宋体"/>
                <w:color w:val="000000"/>
                <w:kern w:val="0"/>
                <w:szCs w:val="21"/>
                <w:lang w:val="en-GB"/>
              </w:rPr>
              <w:t>WAF防火墙</w:t>
            </w:r>
          </w:p>
        </w:tc>
        <w:tc>
          <w:tcPr>
            <w:tcW w:w="2271" w:type="pct"/>
            <w:tcBorders>
              <w:top w:val="nil"/>
              <w:left w:val="nil"/>
              <w:bottom w:val="single" w:color="auto" w:sz="4" w:space="0"/>
              <w:right w:val="single" w:color="auto" w:sz="4" w:space="0"/>
            </w:tcBorders>
            <w:noWrap/>
            <w:vAlign w:val="center"/>
          </w:tcPr>
          <w:p w14:paraId="355177C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W10000-U055M</w:t>
            </w:r>
          </w:p>
        </w:tc>
      </w:tr>
      <w:tr w14:paraId="4374F2AC">
        <w:tblPrEx>
          <w:tblCellMar>
            <w:top w:w="0" w:type="dxa"/>
            <w:left w:w="108" w:type="dxa"/>
            <w:bottom w:w="0" w:type="dxa"/>
            <w:right w:w="108" w:type="dxa"/>
          </w:tblCellMar>
        </w:tblPrEx>
        <w:trPr>
          <w:trHeight w:val="280" w:hRule="atLeast"/>
        </w:trPr>
        <w:tc>
          <w:tcPr>
            <w:tcW w:w="720" w:type="pct"/>
            <w:tcBorders>
              <w:top w:val="nil"/>
              <w:left w:val="single" w:color="auto" w:sz="4" w:space="0"/>
              <w:bottom w:val="single" w:color="auto" w:sz="4" w:space="0"/>
              <w:right w:val="single" w:color="auto" w:sz="4" w:space="0"/>
            </w:tcBorders>
            <w:noWrap w:val="0"/>
            <w:vAlign w:val="center"/>
          </w:tcPr>
          <w:p w14:paraId="0F5880CC">
            <w:pPr>
              <w:widowControl/>
              <w:jc w:val="center"/>
              <w:rPr>
                <w:rFonts w:hint="eastAsia" w:ascii="宋体" w:hAnsi="宋体" w:cs="宋体"/>
                <w:color w:val="000000"/>
                <w:kern w:val="0"/>
                <w:szCs w:val="21"/>
              </w:rPr>
            </w:pPr>
            <w:r>
              <w:rPr>
                <w:rFonts w:hint="eastAsia" w:ascii="宋体" w:hAnsi="宋体" w:cs="宋体"/>
                <w:color w:val="000000"/>
                <w:kern w:val="0"/>
                <w:szCs w:val="21"/>
                <w:lang w:val="en-GB"/>
              </w:rPr>
              <w:t>3</w:t>
            </w:r>
          </w:p>
        </w:tc>
        <w:tc>
          <w:tcPr>
            <w:tcW w:w="2008" w:type="pct"/>
            <w:tcBorders>
              <w:top w:val="nil"/>
              <w:left w:val="nil"/>
              <w:bottom w:val="single" w:color="auto" w:sz="4" w:space="0"/>
              <w:right w:val="single" w:color="auto" w:sz="4" w:space="0"/>
            </w:tcBorders>
            <w:noWrap w:val="0"/>
            <w:vAlign w:val="center"/>
          </w:tcPr>
          <w:p w14:paraId="3973CF47">
            <w:pPr>
              <w:widowControl/>
              <w:jc w:val="center"/>
              <w:rPr>
                <w:rFonts w:hint="eastAsia" w:ascii="宋体" w:hAnsi="宋体" w:cs="宋体"/>
                <w:color w:val="000000"/>
                <w:kern w:val="0"/>
                <w:szCs w:val="21"/>
              </w:rPr>
            </w:pPr>
            <w:r>
              <w:rPr>
                <w:rFonts w:hint="eastAsia" w:ascii="宋体" w:hAnsi="宋体" w:cs="宋体"/>
                <w:color w:val="000000"/>
                <w:kern w:val="0"/>
                <w:szCs w:val="21"/>
              </w:rPr>
              <w:t>服务器安全管理系统</w:t>
            </w:r>
          </w:p>
        </w:tc>
        <w:tc>
          <w:tcPr>
            <w:tcW w:w="2271" w:type="pct"/>
            <w:tcBorders>
              <w:top w:val="nil"/>
              <w:left w:val="nil"/>
              <w:bottom w:val="single" w:color="auto" w:sz="4" w:space="0"/>
              <w:right w:val="single" w:color="auto" w:sz="4" w:space="0"/>
            </w:tcBorders>
            <w:noWrap/>
            <w:vAlign w:val="bottom"/>
          </w:tcPr>
          <w:p w14:paraId="224A74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椒图云锁8.0.5.SP2 增强版(8714)</w:t>
            </w:r>
          </w:p>
        </w:tc>
      </w:tr>
    </w:tbl>
    <w:p w14:paraId="124CB71A">
      <w:pPr>
        <w:rPr>
          <w:rFonts w:hint="eastAsia"/>
          <w:lang w:val="en-GB"/>
        </w:rPr>
      </w:pPr>
    </w:p>
    <w:p w14:paraId="1236470D">
      <w:pPr>
        <w:pStyle w:val="2"/>
        <w:ind w:firstLine="0"/>
        <w:rPr>
          <w:rFonts w:hint="eastAsia"/>
          <w:lang w:val="en-GB"/>
        </w:rPr>
      </w:pPr>
    </w:p>
    <w:p w14:paraId="6BF783AA">
      <w:pPr>
        <w:numPr>
          <w:ilvl w:val="0"/>
          <w:numId w:val="5"/>
        </w:numPr>
        <w:tabs>
          <w:tab w:val="left" w:pos="0"/>
          <w:tab w:val="left" w:pos="540"/>
        </w:tabs>
        <w:adjustRightInd w:val="0"/>
        <w:spacing w:line="360" w:lineRule="auto"/>
        <w:ind w:left="-2" w:leftChars="-1" w:firstLine="0"/>
        <w:rPr>
          <w:rFonts w:hint="eastAsia" w:ascii="宋体" w:hAnsi="宋体"/>
          <w:b/>
          <w:lang w:val="en-GB"/>
        </w:rPr>
      </w:pPr>
      <w:r>
        <w:rPr>
          <w:rFonts w:hint="eastAsia" w:ascii="宋体" w:hAnsi="宋体"/>
          <w:b/>
          <w:lang w:val="en-GB"/>
        </w:rPr>
        <w:t>服务质量要求</w:t>
      </w:r>
    </w:p>
    <w:p w14:paraId="4D05F01E">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1、中标人需提供驻场人员名单及工作职责安排，为保持维护人员的稳定性，中标人在服务过程中不得随意更换驻场人员，如确有需要更换的，必须事先得到采购人的认可。</w:t>
      </w:r>
    </w:p>
    <w:p w14:paraId="14591AEE">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2、为保障服务的及时和服务质量，中标人应按要求提供足够的驻场人员且驻场人员技术能力称职。</w:t>
      </w:r>
    </w:p>
    <w:p w14:paraId="1568E249">
      <w:pPr>
        <w:tabs>
          <w:tab w:val="left" w:pos="510"/>
          <w:tab w:val="left" w:pos="540"/>
        </w:tabs>
        <w:adjustRightInd w:val="0"/>
        <w:spacing w:line="360" w:lineRule="auto"/>
        <w:ind w:firstLine="420" w:firstLineChars="200"/>
        <w:rPr>
          <w:rFonts w:hint="eastAsia" w:ascii="宋体" w:hAnsi="宋体"/>
        </w:rPr>
      </w:pPr>
      <w:r>
        <w:rPr>
          <w:rFonts w:hint="eastAsia" w:ascii="宋体" w:hAnsi="宋体"/>
        </w:rPr>
        <w:t>3、中标人的驻场人员应按照采购人要求（以教务处教学安排时间表为准）驻场服务，食宿中标人自理。节假日和放假期间则参照国家和采购人的相关公布执行。对于采购人的重大活动须全天候保障服务。</w:t>
      </w:r>
    </w:p>
    <w:p w14:paraId="1D402819">
      <w:pPr>
        <w:pStyle w:val="2"/>
        <w:rPr>
          <w:highlight w:val="none"/>
        </w:rPr>
      </w:pPr>
      <w:r>
        <w:rPr>
          <w:rFonts w:hint="eastAsia" w:ascii="宋体" w:hAnsi="宋体"/>
          <w:szCs w:val="24"/>
        </w:rPr>
        <w:t>4、凡涉及参与本项目运维的的相关人员应当严格遵守采购人的有关规章制度，做好信息安全和信息保密工作，不泄露、不扩散采购人的数据和机密。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ptos Narrow">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Arail">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E42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696B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C696B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064F8"/>
    <w:multiLevelType w:val="singleLevel"/>
    <w:tmpl w:val="5AF064F8"/>
    <w:lvl w:ilvl="0" w:tentative="0">
      <w:start w:val="1"/>
      <w:numFmt w:val="chineseCounting"/>
      <w:suff w:val="nothing"/>
      <w:lvlText w:val="（%1）"/>
      <w:lvlJc w:val="left"/>
      <w:pPr>
        <w:ind w:left="573" w:firstLine="420"/>
      </w:pPr>
      <w:rPr>
        <w:rFonts w:hint="eastAsia"/>
        <w:b/>
        <w:lang w:val="en-US"/>
      </w:rPr>
    </w:lvl>
  </w:abstractNum>
  <w:abstractNum w:abstractNumId="1">
    <w:nsid w:val="78754E6D"/>
    <w:multiLevelType w:val="singleLevel"/>
    <w:tmpl w:val="78754E6D"/>
    <w:lvl w:ilvl="0" w:tentative="0">
      <w:start w:val="1"/>
      <w:numFmt w:val="decimal"/>
      <w:lvlText w:val="%1."/>
      <w:lvlJc w:val="left"/>
      <w:pPr>
        <w:ind w:left="425" w:hanging="425"/>
      </w:pPr>
      <w:rPr>
        <w:rFonts w:hint="default"/>
      </w:rPr>
    </w:lvl>
  </w:abstractNum>
  <w:abstractNum w:abstractNumId="2">
    <w:nsid w:val="799803BA"/>
    <w:multiLevelType w:val="multilevel"/>
    <w:tmpl w:val="799803BA"/>
    <w:lvl w:ilvl="0" w:tentative="0">
      <w:start w:val="1"/>
      <w:numFmt w:val="decimal"/>
      <w:lvlText w:val="2.13.%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207E14"/>
    <w:multiLevelType w:val="multilevel"/>
    <w:tmpl w:val="7D207E14"/>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D207E2D"/>
    <w:multiLevelType w:val="multilevel"/>
    <w:tmpl w:val="7D207E2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OWIyODU0YjhjOTgxNjdjNzNlZWU1OTJmZTE5YmMifQ=="/>
  </w:docVars>
  <w:rsids>
    <w:rsidRoot w:val="223B6CFE"/>
    <w:rsid w:val="223B6CFE"/>
    <w:rsid w:val="4F2F2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widowControl/>
      <w:ind w:firstLine="420"/>
      <w:jc w:val="left"/>
    </w:pPr>
    <w:rPr>
      <w:kern w:val="0"/>
      <w:szCs w:val="20"/>
    </w:r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rPr>
      <w:sz w:val="21"/>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rPr>
      <w:rFonts w:ascii="宋体" w:hAnsi="宋体" w:eastAsia="Times New Roman"/>
      <w:spacing w:val="0"/>
      <w:kern w:val="18"/>
      <w:position w:val="0"/>
      <w:sz w:val="18"/>
      <w:szCs w:val="18"/>
    </w:rPr>
  </w:style>
  <w:style w:type="paragraph" w:customStyle="1" w:styleId="10">
    <w:name w:val="Crv_Body"/>
    <w:qFormat/>
    <w:uiPriority w:val="0"/>
    <w:pPr>
      <w:tabs>
        <w:tab w:val="left" w:pos="6598"/>
      </w:tabs>
      <w:spacing w:after="240"/>
    </w:pPr>
    <w:rPr>
      <w:rFonts w:ascii="Arial" w:hAnsi="Arial" w:eastAsia="宋体" w:cs="Arial"/>
      <w:bCs/>
      <w:color w:val="000000"/>
      <w:szCs w:val="21"/>
      <w:lang w:val="en-US" w:eastAsia="en-US" w:bidi="ar-SA"/>
    </w:rPr>
  </w:style>
  <w:style w:type="paragraph" w:customStyle="1" w:styleId="11">
    <w:name w:val="正文_4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_Style 2"/>
    <w:basedOn w:val="1"/>
    <w:qFormat/>
    <w:uiPriority w:val="0"/>
    <w:pPr>
      <w:ind w:firstLine="420" w:firstLineChars="200"/>
    </w:pPr>
    <w:rPr>
      <w:rFonts w:cs="Times New Roman"/>
      <w:sz w:val="21"/>
    </w:rPr>
  </w:style>
  <w:style w:type="paragraph" w:customStyle="1" w:styleId="13">
    <w:name w:val="批注文字_0"/>
    <w:basedOn w:val="11"/>
    <w:unhideWhenUsed/>
    <w:qFormat/>
    <w:uiPriority w:val="99"/>
    <w:pPr>
      <w:jc w:val="left"/>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2355</Words>
  <Characters>2877</Characters>
  <Lines>0</Lines>
  <Paragraphs>0</Paragraphs>
  <TotalTime>0</TotalTime>
  <ScaleCrop>false</ScaleCrop>
  <LinksUpToDate>false</LinksUpToDate>
  <CharactersWithSpaces>2927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2024-10-23T08:04:00Z</dcterms:created>
  <dc:creator>马露丹</dc:creator>
  <cp:lastModifiedBy>马露丹</cp:lastModifiedBy>
  <dcterms:modified xsi:type="dcterms:W3CDTF">2025-04-11T10:43:05Z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1FF024AE484C45CD8EFFDB9FC05656F8_13</vt:lpwstr>
  </property>
  <property fmtid="{D5CDD505-2E9C-101B-9397-08002B2CF9AE}" pid="4" name="KSOTemplateDocerSaveRecord">
    <vt:lpwstr>eyJoZGlkIjoiMGNmOWIyODU0YjhjOTgxNjdjNzNlZWU1OTJmZTE5YmMiLCJ1c2VySWQiOiIyOTI3NDg0NTcifQ==</vt:lpwstr>
  </property>
</Properties>
</file>