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E809">
      <w:pPr>
        <w:widowControl/>
        <w:kinsoku w:val="0"/>
        <w:autoSpaceDE w:val="0"/>
        <w:autoSpaceDN w:val="0"/>
        <w:adjustRightInd w:val="0"/>
        <w:snapToGrid w:val="0"/>
        <w:spacing w:after="0"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eastAsia="zh-CN"/>
        </w:rPr>
        <w:t>附件1.</w:t>
      </w:r>
    </w:p>
    <w:p w14:paraId="35E78C67">
      <w:pPr>
        <w:widowControl/>
        <w:kinsoku w:val="0"/>
        <w:autoSpaceDE w:val="0"/>
        <w:autoSpaceDN w:val="0"/>
        <w:adjustRightInd w:val="0"/>
        <w:snapToGrid w:val="0"/>
        <w:spacing w:after="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eastAsia="zh-CN"/>
        </w:rPr>
        <w:t>报  价  表</w:t>
      </w:r>
    </w:p>
    <w:p w14:paraId="3E4BA90E">
      <w:pPr>
        <w:keepNext/>
        <w:kinsoku w:val="0"/>
        <w:autoSpaceDE w:val="0"/>
        <w:autoSpaceDN w:val="0"/>
        <w:adjustRightInd w:val="0"/>
        <w:snapToGrid w:val="0"/>
        <w:spacing w:before="120" w:beforeLines="50" w:after="0"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auto"/>
          <w:sz w:val="21"/>
          <w:szCs w:val="21"/>
          <w:highlight w:val="none"/>
          <w:lang w:val="en-US" w:eastAsia="zh-CN" w:bidi="ar-SA"/>
        </w:rPr>
        <w:t>项目名称：揭阳市绿源垃圾综合处理与资源利用厂2025-2028年度营运期财产一揽子保险项目</w:t>
      </w:r>
      <w:bookmarkEnd w:id="0"/>
    </w:p>
    <w:tbl>
      <w:tblPr>
        <w:tblStyle w:val="8"/>
        <w:tblW w:w="9533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57"/>
        <w:gridCol w:w="2235"/>
        <w:gridCol w:w="2737"/>
        <w:gridCol w:w="769"/>
        <w:gridCol w:w="1395"/>
      </w:tblGrid>
      <w:tr w14:paraId="241D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4" w:hRule="atLeast"/>
        </w:trPr>
        <w:tc>
          <w:tcPr>
            <w:tcW w:w="1040" w:type="dxa"/>
            <w:shd w:val="clear" w:color="auto" w:fill="auto"/>
            <w:vAlign w:val="center"/>
          </w:tcPr>
          <w:p w14:paraId="61BA9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5C56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险种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F244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保险金额/赔偿限额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D531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免赔额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7609B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EB1D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保险费元/含税（专票）</w:t>
            </w:r>
          </w:p>
        </w:tc>
      </w:tr>
      <w:tr w14:paraId="7401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60339C6">
            <w:pPr>
              <w:keepNext/>
              <w:kinsoku w:val="0"/>
              <w:autoSpaceDE w:val="0"/>
              <w:autoSpaceDN w:val="0"/>
              <w:adjustRightInd w:val="0"/>
              <w:snapToGrid w:val="0"/>
              <w:spacing w:before="0" w:beforeLines="0" w:after="0" w:line="360" w:lineRule="auto"/>
              <w:jc w:val="left"/>
              <w:textAlignment w:val="baseline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揭阳市绿源垃圾综合处理与资源利用厂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2025-2028年度营运期财产一揽子保险项目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78E7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财产一切险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AF9B5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524,760,000.00元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C054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1、地震、海啸 -- 每次事故RMB40万元元或核定损失金额的5％，以高者为准；</w:t>
            </w:r>
          </w:p>
          <w:p w14:paraId="69BA8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2、发电机、汽轮机、锅炉 -- 每次事故RMB100,000元或核定损失金额的5%，以高者为准；</w:t>
            </w:r>
          </w:p>
          <w:p w14:paraId="1BACA1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3、其它 -- 每次事故RMB50,000元。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FF6DC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01AD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365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4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34EF9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4857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营业中断险(跟随财产一切险)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63258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毛利润：人民币63,634,066.71元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3F5360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5天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06BB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D416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59AF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7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0EB9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AA2F0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机器损坏险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7F6E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人民币323,140,000元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78F3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每次事故RMB50000元或核定损失金额的5%，以高者为准。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CB3E9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EB41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0DE5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9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4554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DBF8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营业中断险(跟随机器损坏险)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D37D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毛利润：人民币63,634,066.71元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BED6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5天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6B02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01ED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5692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42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3C429E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E38D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公众责任险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988D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累计事故赔偿限额人民币2000万元；每次事故赔偿限额为1500万元。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5294D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  <w:t>每次事故财产损失绝对免赔金额为人民币20000元或核定损失金额的10%，两者以高者为准。</w:t>
            </w:r>
          </w:p>
          <w:p w14:paraId="195DC6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  <w:t>人身伤害无免赔额。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1765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2BAA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001D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5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F275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19C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雇主责任险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6744B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投保人数：100人；</w:t>
            </w:r>
          </w:p>
          <w:p w14:paraId="19FC83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全员年工资总额RMB12,838,973；</w:t>
            </w:r>
          </w:p>
          <w:p w14:paraId="6495D2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每人死亡限额36.0月工资，每人伤残限额48.0月工资；</w:t>
            </w:r>
          </w:p>
          <w:p w14:paraId="15F721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每人医疗费用赔偿限额：人民币2万元/年，每人死亡、伤残最高赔偿限额51万元；</w:t>
            </w:r>
          </w:p>
          <w:p w14:paraId="56AB57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每人误工补助：实际工资标准。</w:t>
            </w:r>
          </w:p>
          <w:p w14:paraId="1BACBE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保单每次事故赔偿限额：RMB 51,355,892,</w:t>
            </w:r>
          </w:p>
          <w:p w14:paraId="6C5919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保单累计赔偿限额：RMB 51,355,892。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7F8AB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1、每次事故每人误工费用，绝对免赔5天。</w:t>
            </w:r>
          </w:p>
          <w:p w14:paraId="351912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2、每次事故医疗费用绝对免赔人民币100后按100%赔付。</w:t>
            </w:r>
          </w:p>
          <w:p w14:paraId="10572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3、其它无免赔。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7F1A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E775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after="0" w:line="278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  <w:tr w14:paraId="5748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38" w:type="dxa"/>
            <w:gridSpan w:val="5"/>
            <w:shd w:val="clear" w:color="auto" w:fill="auto"/>
            <w:noWrap/>
            <w:vAlign w:val="center"/>
          </w:tcPr>
          <w:p w14:paraId="76BDD03F">
            <w:pPr>
              <w:keepNext w:val="0"/>
              <w:keepLines w:val="0"/>
              <w:widowControl/>
              <w:suppressLineNumbers w:val="0"/>
              <w:kinsoku w:val="0"/>
              <w:autoSpaceDE/>
              <w:autoSpaceDN/>
              <w:adjustRightInd w:val="0"/>
              <w:snapToGrid w:val="0"/>
              <w:spacing w:before="160" w:beforeLines="0" w:after="160" w:line="360" w:lineRule="auto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目保险费/含税   合 计：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23705E">
            <w:pPr>
              <w:widowControl/>
              <w:kinsoku w:val="0"/>
              <w:autoSpaceDE/>
              <w:autoSpaceDN/>
              <w:adjustRightInd w:val="0"/>
              <w:snapToGrid w:val="0"/>
              <w:spacing w:before="0" w:beforeLines="0" w:after="0" w:line="360" w:lineRule="auto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eastAsia="en-US"/>
              </w:rPr>
            </w:pPr>
          </w:p>
        </w:tc>
      </w:tr>
    </w:tbl>
    <w:p w14:paraId="30BFD6F8">
      <w:pPr>
        <w:widowControl/>
        <w:kinsoku w:val="0"/>
        <w:autoSpaceDE w:val="0"/>
        <w:autoSpaceDN w:val="0"/>
        <w:adjustRightInd w:val="0"/>
        <w:snapToGrid w:val="0"/>
        <w:spacing w:after="160" w:line="48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lang w:val="en-US" w:eastAsia="zh-CN"/>
        </w:rPr>
        <w:t>注：上述各险种的保险金额（赔偿限额）为暂定金额，续保期间可能会有调整，报价人可按暂定金额提供每年续保费率和暂定保费金额，如存在续保前置条件，请报价人注明。</w:t>
      </w:r>
    </w:p>
    <w:p w14:paraId="7C2F82B6">
      <w:pPr>
        <w:widowControl/>
        <w:kinsoku w:val="0"/>
        <w:autoSpaceDE w:val="0"/>
        <w:autoSpaceDN w:val="0"/>
        <w:adjustRightInd w:val="0"/>
        <w:snapToGrid w:val="0"/>
        <w:spacing w:after="160" w:line="48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单位名称: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 xml:space="preserve">（盖章） </w:t>
      </w:r>
    </w:p>
    <w:p w14:paraId="685962CC">
      <w:pPr>
        <w:widowControl/>
        <w:kinsoku w:val="0"/>
        <w:autoSpaceDE w:val="0"/>
        <w:autoSpaceDN w:val="0"/>
        <w:adjustRightInd w:val="0"/>
        <w:snapToGrid w:val="0"/>
        <w:spacing w:after="160" w:line="48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法定代表人/负责人</w:t>
      </w:r>
      <w:r>
        <w:rPr>
          <w:rFonts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/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（签字或签章）</w:t>
      </w:r>
    </w:p>
    <w:p w14:paraId="17A0658F">
      <w:pPr>
        <w:widowControl/>
        <w:kinsoku w:val="0"/>
        <w:autoSpaceDE w:val="0"/>
        <w:autoSpaceDN w:val="0"/>
        <w:adjustRightInd w:val="0"/>
        <w:snapToGrid w:val="0"/>
        <w:spacing w:after="160" w:line="48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 xml:space="preserve">联系人：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 xml:space="preserve">        联系电话：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 xml:space="preserve">               </w:t>
      </w:r>
    </w:p>
    <w:p w14:paraId="7EA30336">
      <w:pPr>
        <w:widowControl/>
        <w:kinsoku w:val="0"/>
        <w:autoSpaceDE w:val="0"/>
        <w:autoSpaceDN w:val="0"/>
        <w:adjustRightInd w:val="0"/>
        <w:snapToGrid w:val="0"/>
        <w:spacing w:after="160" w:line="48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日期：______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zh-CN"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______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zh-CN"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_______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zh-CN" w:eastAsia="zh-CN"/>
        </w:rPr>
        <w:t>日</w:t>
      </w:r>
    </w:p>
    <w:p w14:paraId="7BB2BFDC"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C503B"/>
    <w:multiLevelType w:val="singleLevel"/>
    <w:tmpl w:val="F92C50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7599A"/>
    <w:rsid w:val="03BF24DD"/>
    <w:rsid w:val="043F6672"/>
    <w:rsid w:val="06A87133"/>
    <w:rsid w:val="081F666E"/>
    <w:rsid w:val="1F604F65"/>
    <w:rsid w:val="1FAE220B"/>
    <w:rsid w:val="20EC7B5E"/>
    <w:rsid w:val="27B60582"/>
    <w:rsid w:val="288B1CBB"/>
    <w:rsid w:val="2A94151D"/>
    <w:rsid w:val="2B633548"/>
    <w:rsid w:val="30C00829"/>
    <w:rsid w:val="31E407E4"/>
    <w:rsid w:val="421F34A1"/>
    <w:rsid w:val="42CE3CD6"/>
    <w:rsid w:val="458360FC"/>
    <w:rsid w:val="503E5973"/>
    <w:rsid w:val="50C63685"/>
    <w:rsid w:val="57D00372"/>
    <w:rsid w:val="587B53BC"/>
    <w:rsid w:val="5B7B2664"/>
    <w:rsid w:val="60016052"/>
    <w:rsid w:val="618F0BE2"/>
    <w:rsid w:val="6537599A"/>
    <w:rsid w:val="6871653B"/>
    <w:rsid w:val="69AE2E8F"/>
    <w:rsid w:val="6B9B2FA3"/>
    <w:rsid w:val="701F4514"/>
    <w:rsid w:val="720269C1"/>
    <w:rsid w:val="727210E9"/>
    <w:rsid w:val="72DA2F46"/>
    <w:rsid w:val="744A30EB"/>
    <w:rsid w:val="777C512D"/>
    <w:rsid w:val="7B6D4751"/>
    <w:rsid w:val="7DB549FF"/>
    <w:rsid w:val="7F7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480" w:lineRule="auto"/>
      <w:jc w:val="center"/>
      <w:outlineLvl w:val="0"/>
    </w:pPr>
    <w:rPr>
      <w:rFonts w:asciiTheme="minorAscii" w:hAnsiTheme="minorAscii" w:eastAsiaTheme="minorEastAsia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tabs>
        <w:tab w:val="left" w:pos="180"/>
        <w:tab w:val="left" w:pos="360"/>
      </w:tabs>
      <w:adjustRightInd w:val="0"/>
      <w:spacing w:line="360" w:lineRule="auto"/>
      <w:ind w:right="0" w:rightChars="0"/>
      <w:jc w:val="center"/>
      <w:outlineLvl w:val="1"/>
    </w:pPr>
    <w:rPr>
      <w:rFonts w:ascii="宋体" w:hAnsi="宋体" w:eastAsia="宋体" w:cs="Times New Roman"/>
      <w:b/>
      <w:kern w:val="0"/>
      <w:sz w:val="28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adjustRightInd w:val="0"/>
      <w:snapToGrid w:val="0"/>
      <w:spacing w:line="360" w:lineRule="auto"/>
      <w:outlineLvl w:val="2"/>
    </w:pPr>
    <w:rPr>
      <w:rFonts w:ascii="楷体_GB2312" w:hAnsi="楷体_GB2312" w:eastAsia="宋体"/>
      <w:b/>
      <w:bCs/>
      <w:sz w:val="28"/>
    </w:rPr>
  </w:style>
  <w:style w:type="paragraph" w:styleId="6">
    <w:name w:val="heading 4"/>
    <w:basedOn w:val="1"/>
    <w:next w:val="7"/>
    <w:link w:val="12"/>
    <w:autoRedefine/>
    <w:semiHidden/>
    <w:unhideWhenUsed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宋体" w:cs="宋体"/>
      <w:b/>
      <w:color w:val="000000"/>
      <w:kern w:val="0"/>
      <w:sz w:val="28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customStyle="1" w:styleId="10">
    <w:name w:val="样式1"/>
    <w:basedOn w:val="3"/>
    <w:qFormat/>
    <w:uiPriority w:val="0"/>
    <w:rPr>
      <w:rFonts w:ascii="Times New Roman" w:hAnsi="Times New Roman"/>
    </w:rPr>
  </w:style>
  <w:style w:type="character" w:customStyle="1" w:styleId="11">
    <w:name w:val="标题 1 字符"/>
    <w:basedOn w:val="9"/>
    <w:link w:val="3"/>
    <w:qFormat/>
    <w:uiPriority w:val="0"/>
    <w:rPr>
      <w:rFonts w:asciiTheme="minorAscii" w:hAnsiTheme="minorAscii" w:eastAsiaTheme="minorEastAsia" w:cstheme="minorBidi"/>
      <w:b/>
      <w:bCs/>
      <w:kern w:val="44"/>
      <w:sz w:val="36"/>
      <w:szCs w:val="44"/>
    </w:rPr>
  </w:style>
  <w:style w:type="character" w:customStyle="1" w:styleId="12">
    <w:name w:val="标题 4 Char"/>
    <w:link w:val="6"/>
    <w:qFormat/>
    <w:uiPriority w:val="0"/>
    <w:rPr>
      <w:rFonts w:ascii="宋体" w:hAnsi="宋体" w:eastAsia="宋体" w:cs="宋体"/>
      <w:b/>
      <w:color w:val="000000"/>
      <w:sz w:val="28"/>
      <w:lang w:val="en-US" w:eastAsia="zh-CN" w:bidi="ar-SA"/>
    </w:rPr>
  </w:style>
  <w:style w:type="character" w:customStyle="1" w:styleId="13">
    <w:name w:val="标题 2 字符"/>
    <w:link w:val="4"/>
    <w:qFormat/>
    <w:uiPriority w:val="9"/>
    <w:rPr>
      <w:rFonts w:ascii="宋体" w:hAnsi="宋体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2025-06-05T11:12:00Z</dcterms:created>
  <dc:creator>admin</dc:creator>
  <cp:lastModifiedBy>admin</cp:lastModifiedBy>
  <dcterms:modified xsi:type="dcterms:W3CDTF">2025-06-05T11:21:32Z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AB1322AADCC642039EA9A4A2545C3EAB_11</vt:lpwstr>
  </property>
  <property fmtid="{D5CDD505-2E9C-101B-9397-08002B2CF9AE}" pid="4" name="KSOTemplateDocerSaveRecord">
    <vt:lpwstr>eyJoZGlkIjoiN2M2YWNlOTlhNjM2YzhhZWMzYjYwOTg3OTU1ZmQwYzYiLCJ1c2VySWQiOiI4NTI3NjM1MjEifQ==</vt:lpwstr>
  </property>
</Properties>
</file>