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4829">
      <w:pPr>
        <w:spacing w:before="156" w:beforeLines="50" w:after="156" w:afterLines="50" w:line="360" w:lineRule="auto"/>
        <w:jc w:val="center"/>
        <w:outlineLvl w:val="0"/>
        <w:rPr>
          <w:color w:val="FF0000"/>
        </w:rPr>
      </w:pPr>
      <w:bookmarkStart w:id="0" w:name="_Toc146124278"/>
      <w:bookmarkStart w:id="1" w:name="_Toc13067021"/>
      <w:r>
        <w:rPr>
          <w:rFonts w:hint="eastAsia"/>
          <w:b/>
          <w:bCs/>
          <w:sz w:val="28"/>
          <w:szCs w:val="28"/>
        </w:rPr>
        <w:t>第二章 采购需求</w:t>
      </w:r>
      <w:bookmarkEnd w:id="0"/>
      <w:bookmarkEnd w:id="1"/>
    </w:p>
    <w:p w14:paraId="72623A90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有关说明</w:t>
      </w:r>
    </w:p>
    <w:p w14:paraId="01336E37">
      <w:pPr>
        <w:numPr>
          <w:ilvl w:val="0"/>
          <w:numId w:val="2"/>
        </w:numPr>
        <w:tabs>
          <w:tab w:val="left" w:pos="567"/>
          <w:tab w:val="clear" w:pos="420"/>
        </w:tabs>
        <w:snapToGrid w:val="0"/>
        <w:spacing w:line="360" w:lineRule="auto"/>
        <w:rPr>
          <w:rFonts w:asciiTheme="majorEastAsia" w:hAnsiTheme="majorEastAsia" w:eastAsiaTheme="majorEastAsia"/>
          <w:bCs/>
          <w:sz w:val="21"/>
          <w:szCs w:val="21"/>
        </w:rPr>
      </w:pPr>
      <w:r>
        <w:rPr>
          <w:rFonts w:hint="eastAsia" w:asciiTheme="majorEastAsia" w:hAnsiTheme="majorEastAsia" w:eastAsiaTheme="majorEastAsia"/>
          <w:bCs/>
          <w:sz w:val="21"/>
          <w:szCs w:val="21"/>
        </w:rPr>
        <w:t>投标人须对本项目的采购标的进行整体投标，任何只对本项目采购标的其中一部分内容、数量进行的投标都被视为无效投标。</w:t>
      </w:r>
    </w:p>
    <w:p w14:paraId="62763D43">
      <w:pPr>
        <w:numPr>
          <w:ilvl w:val="0"/>
          <w:numId w:val="2"/>
        </w:numPr>
        <w:tabs>
          <w:tab w:val="left" w:pos="567"/>
          <w:tab w:val="clear" w:pos="420"/>
        </w:tabs>
        <w:snapToGrid w:val="0"/>
        <w:spacing w:line="360" w:lineRule="auto"/>
        <w:rPr>
          <w:rFonts w:asciiTheme="majorEastAsia" w:hAnsiTheme="majorEastAsia" w:eastAsiaTheme="majorEastAsia"/>
          <w:bCs/>
          <w:sz w:val="21"/>
          <w:szCs w:val="21"/>
        </w:rPr>
      </w:pPr>
      <w:r>
        <w:rPr>
          <w:rFonts w:hint="eastAsia" w:asciiTheme="majorEastAsia" w:hAnsiTheme="majorEastAsia" w:eastAsiaTheme="majorEastAsia"/>
          <w:bCs/>
          <w:sz w:val="21"/>
          <w:szCs w:val="21"/>
        </w:rPr>
        <w:t>采购需求中标注</w:t>
      </w:r>
      <w:r>
        <w:rPr>
          <w:rFonts w:asciiTheme="majorEastAsia" w:hAnsiTheme="majorEastAsia" w:eastAsiaTheme="majorEastAsia"/>
          <w:bCs/>
          <w:sz w:val="21"/>
          <w:szCs w:val="21"/>
        </w:rPr>
        <w:t>“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★</w:t>
      </w:r>
      <w:r>
        <w:rPr>
          <w:rFonts w:asciiTheme="majorEastAsia" w:hAnsiTheme="majorEastAsia" w:eastAsiaTheme="majorEastAsia"/>
          <w:bCs/>
          <w:sz w:val="21"/>
          <w:szCs w:val="21"/>
        </w:rPr>
        <w:t>”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号条款为实质性条款，必须逐条进行响应，有任何一条负偏离的，将导致无效投标。</w:t>
      </w:r>
      <w:bookmarkStart w:id="2" w:name="_GoBack"/>
      <w:bookmarkEnd w:id="2"/>
    </w:p>
    <w:p w14:paraId="24546F8F">
      <w:pPr>
        <w:numPr>
          <w:ilvl w:val="0"/>
          <w:numId w:val="2"/>
        </w:numPr>
        <w:tabs>
          <w:tab w:val="left" w:pos="567"/>
          <w:tab w:val="clear" w:pos="420"/>
        </w:tabs>
        <w:snapToGrid w:val="0"/>
        <w:spacing w:line="360" w:lineRule="auto"/>
        <w:rPr>
          <w:rFonts w:asciiTheme="majorEastAsia" w:hAnsiTheme="majorEastAsia" w:eastAsiaTheme="majorEastAsia"/>
          <w:bCs/>
          <w:sz w:val="21"/>
          <w:szCs w:val="21"/>
        </w:rPr>
      </w:pPr>
      <w:r>
        <w:rPr>
          <w:rFonts w:hint="eastAsia" w:asciiTheme="majorEastAsia" w:hAnsiTheme="majorEastAsia" w:eastAsiaTheme="majorEastAsia"/>
          <w:bCs/>
          <w:sz w:val="21"/>
          <w:szCs w:val="21"/>
        </w:rPr>
        <w:t>采购需求中标注</w:t>
      </w:r>
      <w:r>
        <w:rPr>
          <w:rFonts w:asciiTheme="majorEastAsia" w:hAnsiTheme="majorEastAsia" w:eastAsiaTheme="majorEastAsia"/>
          <w:bCs/>
          <w:sz w:val="21"/>
          <w:szCs w:val="21"/>
        </w:rPr>
        <w:t>“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▲</w:t>
      </w:r>
      <w:r>
        <w:rPr>
          <w:rFonts w:asciiTheme="majorEastAsia" w:hAnsiTheme="majorEastAsia" w:eastAsiaTheme="majorEastAsia"/>
          <w:bCs/>
          <w:sz w:val="21"/>
          <w:szCs w:val="21"/>
        </w:rPr>
        <w:t>”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号条款为重要技术参数，但不作为无效投标条款。</w:t>
      </w:r>
    </w:p>
    <w:p w14:paraId="01A88142">
      <w:pPr>
        <w:numPr>
          <w:ilvl w:val="0"/>
          <w:numId w:val="2"/>
        </w:numPr>
        <w:tabs>
          <w:tab w:val="left" w:pos="567"/>
        </w:tabs>
        <w:snapToGrid w:val="0"/>
        <w:spacing w:line="360" w:lineRule="auto"/>
        <w:rPr>
          <w:rFonts w:asciiTheme="majorEastAsia" w:hAnsiTheme="majorEastAsia" w:eastAsiaTheme="majorEastAsia"/>
          <w:bCs/>
          <w:sz w:val="21"/>
          <w:szCs w:val="21"/>
        </w:rPr>
      </w:pPr>
      <w:r>
        <w:rPr>
          <w:rFonts w:hint="eastAsia" w:asciiTheme="majorEastAsia" w:hAnsiTheme="majorEastAsia" w:eastAsiaTheme="majorEastAsia"/>
          <w:bCs/>
          <w:sz w:val="21"/>
          <w:szCs w:val="21"/>
        </w:rPr>
        <w:t>投标报价：供应商完成项目过程中的发生的全部费用，包含但不限于：直接费用、间接费用、其它费用、各项税金及利润，以及应由中标</w:t>
      </w:r>
      <w:r>
        <w:rPr>
          <w:rFonts w:hint="eastAsia" w:asciiTheme="majorEastAsia" w:hAnsiTheme="majorEastAsia" w:eastAsiaTheme="majorEastAsia"/>
          <w:bCs/>
          <w:sz w:val="21"/>
          <w:szCs w:val="21"/>
          <w:lang w:eastAsia="zh-CN"/>
        </w:rPr>
        <w:t>人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承担的义务、责任和风险所发生的一切费用。中标后不得再向采购人收取任何其他费用。</w:t>
      </w:r>
    </w:p>
    <w:p w14:paraId="247E8609">
      <w:pPr>
        <w:numPr>
          <w:ilvl w:val="0"/>
          <w:numId w:val="2"/>
        </w:numPr>
        <w:tabs>
          <w:tab w:val="left" w:pos="567"/>
        </w:tabs>
        <w:snapToGrid w:val="0"/>
        <w:spacing w:line="360" w:lineRule="auto"/>
        <w:rPr>
          <w:rFonts w:asciiTheme="majorEastAsia" w:hAnsiTheme="majorEastAsia" w:eastAsiaTheme="majorEastAsia"/>
          <w:bCs/>
          <w:sz w:val="21"/>
          <w:szCs w:val="21"/>
        </w:rPr>
      </w:pPr>
      <w:r>
        <w:rPr>
          <w:rFonts w:hint="eastAsia" w:asciiTheme="majorEastAsia" w:hAnsiTheme="majorEastAsia" w:eastAsiaTheme="majorEastAsia"/>
          <w:bCs/>
          <w:sz w:val="21"/>
          <w:szCs w:val="21"/>
        </w:rPr>
        <w:t>投标人</w:t>
      </w:r>
      <w:r>
        <w:rPr>
          <w:rFonts w:hint="eastAsia" w:asciiTheme="majorEastAsia" w:hAnsiTheme="majorEastAsia" w:eastAsiaTheme="majorEastAsia"/>
          <w:bCs/>
          <w:sz w:val="21"/>
          <w:szCs w:val="21"/>
          <w:lang w:val="en-US" w:eastAsia="zh-CN"/>
        </w:rPr>
        <w:t>未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在投标文件中注明偏离（文字说明或在</w:t>
      </w:r>
      <w:r>
        <w:rPr>
          <w:rFonts w:hint="eastAsia" w:asciiTheme="majorEastAsia" w:hAnsiTheme="majorEastAsia" w:eastAsiaTheme="majorEastAsia"/>
          <w:bCs/>
          <w:color w:val="FF0000"/>
          <w:sz w:val="21"/>
          <w:szCs w:val="21"/>
        </w:rPr>
        <w:t>采购需求条款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响应</w:t>
      </w:r>
      <w:r>
        <w:rPr>
          <w:rFonts w:hint="eastAsia" w:asciiTheme="majorEastAsia" w:hAnsiTheme="majorEastAsia" w:eastAsiaTheme="majorEastAsia"/>
          <w:bCs/>
          <w:color w:val="FF0000"/>
          <w:sz w:val="21"/>
          <w:szCs w:val="21"/>
        </w:rPr>
        <w:t>一览</w:t>
      </w:r>
      <w:r>
        <w:rPr>
          <w:rFonts w:hint="eastAsia" w:asciiTheme="majorEastAsia" w:hAnsiTheme="majorEastAsia" w:eastAsiaTheme="majorEastAsia"/>
          <w:bCs/>
          <w:sz w:val="21"/>
          <w:szCs w:val="21"/>
        </w:rPr>
        <w:t>表注明）的参数、配置、条款视为被投标人完全接受。</w:t>
      </w:r>
    </w:p>
    <w:p w14:paraId="54BE1650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服务内容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968"/>
        <w:gridCol w:w="2391"/>
        <w:gridCol w:w="1834"/>
      </w:tblGrid>
      <w:tr w14:paraId="7F58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53" w:type="pct"/>
            <w:shd w:val="clear" w:color="auto" w:fill="EEECE1"/>
            <w:vAlign w:val="center"/>
          </w:tcPr>
          <w:p w14:paraId="66346F2D">
            <w:pPr>
              <w:snapToGrid w:val="0"/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>采购内容</w:t>
            </w:r>
          </w:p>
        </w:tc>
        <w:tc>
          <w:tcPr>
            <w:tcW w:w="568" w:type="pct"/>
            <w:shd w:val="clear" w:color="auto" w:fill="EEECE1"/>
            <w:vAlign w:val="center"/>
          </w:tcPr>
          <w:p w14:paraId="644F3FEF">
            <w:pPr>
              <w:snapToGrid w:val="0"/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>数量</w:t>
            </w:r>
          </w:p>
        </w:tc>
        <w:tc>
          <w:tcPr>
            <w:tcW w:w="1403" w:type="pct"/>
            <w:tcBorders>
              <w:right w:val="single" w:color="auto" w:sz="4" w:space="0"/>
            </w:tcBorders>
            <w:shd w:val="clear" w:color="auto" w:fill="EEECE1"/>
            <w:vAlign w:val="center"/>
          </w:tcPr>
          <w:p w14:paraId="64FDF01C">
            <w:pPr>
              <w:snapToGrid w:val="0"/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>最高限价（人民币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>元）</w:t>
            </w:r>
          </w:p>
        </w:tc>
        <w:tc>
          <w:tcPr>
            <w:tcW w:w="1076" w:type="pct"/>
            <w:tcBorders>
              <w:right w:val="single" w:color="auto" w:sz="4" w:space="0"/>
            </w:tcBorders>
            <w:shd w:val="clear" w:color="auto" w:fill="EEECE1"/>
            <w:vAlign w:val="center"/>
          </w:tcPr>
          <w:p w14:paraId="789EAC67">
            <w:pPr>
              <w:snapToGrid w:val="0"/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>合同履行期限</w:t>
            </w:r>
          </w:p>
        </w:tc>
      </w:tr>
      <w:tr w14:paraId="62F9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953" w:type="pct"/>
            <w:vAlign w:val="center"/>
          </w:tcPr>
          <w:p w14:paraId="1D191E01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花都区岑境村、东莞村、东镜村村镇工业集聚区改造项目实施方案编制、控规调整及全流程服务项目</w:t>
            </w:r>
          </w:p>
        </w:tc>
        <w:tc>
          <w:tcPr>
            <w:tcW w:w="568" w:type="pct"/>
            <w:vAlign w:val="center"/>
          </w:tcPr>
          <w:p w14:paraId="41B35D87">
            <w:pPr>
              <w:snapToGrid w:val="0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1项</w:t>
            </w:r>
          </w:p>
        </w:tc>
        <w:tc>
          <w:tcPr>
            <w:tcW w:w="1403" w:type="pct"/>
            <w:tcBorders>
              <w:right w:val="single" w:color="auto" w:sz="4" w:space="0"/>
            </w:tcBorders>
            <w:vAlign w:val="center"/>
          </w:tcPr>
          <w:p w14:paraId="42B3F410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1160</w:t>
            </w:r>
          </w:p>
        </w:tc>
        <w:tc>
          <w:tcPr>
            <w:tcW w:w="1076" w:type="pct"/>
            <w:tcBorders>
              <w:right w:val="single" w:color="auto" w:sz="4" w:space="0"/>
            </w:tcBorders>
            <w:vAlign w:val="center"/>
          </w:tcPr>
          <w:p w14:paraId="005D7598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DejaVuSans"/>
                <w:szCs w:val="20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自双方签订合同之日起2年完成</w:t>
            </w:r>
          </w:p>
        </w:tc>
      </w:tr>
    </w:tbl>
    <w:p w14:paraId="4BC147AD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项目概况</w:t>
      </w:r>
    </w:p>
    <w:p w14:paraId="1685EB64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1、项目范围：</w:t>
      </w:r>
      <w:r>
        <w:rPr>
          <w:rFonts w:hint="eastAsia" w:ascii="宋体" w:hAnsi="宋体"/>
          <w:sz w:val="21"/>
          <w:szCs w:val="21"/>
        </w:rPr>
        <w:t>花都区岑境村、东莞村、东镜村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村镇工业集聚区位于花都区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南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部，属于花都区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新雅街道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，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改造范围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位于花都湖以南</w:t>
      </w:r>
      <w:r>
        <w:rPr>
          <w:rFonts w:hint="eastAsia" w:cs="宋体" w:asciiTheme="majorEastAsia" w:hAnsiTheme="majorEastAsia" w:eastAsiaTheme="majorEastAsia"/>
          <w:sz w:val="21"/>
          <w:szCs w:val="21"/>
          <w:lang w:eastAsia="zh-CN"/>
        </w:rPr>
        <w:t>，广花公路以东、凤凰南路以西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，现主要为花都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新雅街道</w:t>
      </w:r>
      <w:r>
        <w:rPr>
          <w:rFonts w:hint="eastAsia" w:ascii="宋体" w:hAnsi="宋体"/>
          <w:sz w:val="21"/>
          <w:szCs w:val="21"/>
        </w:rPr>
        <w:t>岑境村、东莞村、东镜村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集体权属用地。项目初步划定改造范围约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56.66</w:t>
      </w:r>
      <w:r>
        <w:rPr>
          <w:rFonts w:cs="宋体" w:asciiTheme="majorEastAsia" w:hAnsiTheme="majorEastAsia" w:eastAsiaTheme="majorEastAsia"/>
          <w:sz w:val="21"/>
          <w:szCs w:val="21"/>
        </w:rPr>
        <w:t>公顷</w:t>
      </w:r>
      <w:r>
        <w:rPr>
          <w:rFonts w:hint="eastAsia" w:cs="宋体" w:asciiTheme="majorEastAsia" w:hAnsiTheme="majorEastAsia" w:eastAsiaTheme="majorEastAsia"/>
          <w:sz w:val="21"/>
          <w:szCs w:val="21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849.97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亩</w:t>
      </w:r>
      <w:r>
        <w:rPr>
          <w:rFonts w:hint="eastAsia" w:cs="宋体" w:asciiTheme="majorEastAsia" w:hAnsiTheme="majorEastAsia" w:eastAsiaTheme="majorEastAsia"/>
          <w:sz w:val="21"/>
          <w:szCs w:val="21"/>
          <w:lang w:eastAsia="zh-CN"/>
        </w:rPr>
        <w:t>），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控规调整范围为103.41公顷（1551.15亩）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（可根据实际情况进行调整）。</w:t>
      </w:r>
    </w:p>
    <w:p w14:paraId="37C7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hint="eastAsia" w:ascii="宋体" w:hAnsi="宋体" w:eastAsia="宋体"/>
          <w:szCs w:val="20"/>
          <w:lang w:eastAsia="zh-CN"/>
        </w:rPr>
      </w:pPr>
      <w:r>
        <w:rPr>
          <w:rFonts w:hint="eastAsia" w:ascii="宋体" w:hAnsi="宋体" w:eastAsia="宋体"/>
          <w:szCs w:val="20"/>
          <w:lang w:eastAsia="zh-CN"/>
        </w:rPr>
        <w:drawing>
          <wp:inline distT="0" distB="0" distL="114300" distR="114300">
            <wp:extent cx="4056380" cy="2298700"/>
            <wp:effectExtent l="0" t="0" r="1270" b="6350"/>
            <wp:docPr id="1" name="图片 1" descr="bcb601c9f88b6a20abb94ee4d568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b601c9f88b6a20abb94ee4d5685740"/>
                    <pic:cNvPicPr>
                      <a:picLocks noChangeAspect="1"/>
                    </pic:cNvPicPr>
                  </pic:nvPicPr>
                  <pic:blipFill>
                    <a:blip r:embed="rId6"/>
                    <a:srcRect t="10955" b="10216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277495</wp:posOffset>
                </wp:positionV>
                <wp:extent cx="728980" cy="222250"/>
                <wp:effectExtent l="6350" t="6350" r="26670" b="19050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222250"/>
                        </a:xfrm>
                        <a:prstGeom prst="wedgeRectCallout">
                          <a:avLst>
                            <a:gd name="adj1" fmla="val 49564"/>
                            <a:gd name="adj2" fmla="val 119142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0AC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1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改造范围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11.1pt;margin-top:21.85pt;height:17.5pt;width:57.4pt;z-index:251660288;v-text-anchor:middle;mso-width-relative:page;mso-height-relative:page;" fillcolor="#C00000" filled="t" stroked="t" coordsize="21600,21600" o:gfxdata="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KB9LydcAAAAJAQAADwAAAAAAAAABACAAAAAiAAAAZHJzL2Rvd25yZXYueG1sUEsB&#10;AhQAFAAAAAgAh07iQEx5HEihAgAAUgUAAA4AAAAAAAAAAQAgAAAAJgEAAGRycy9lMm9Eb2MueG1s&#10;UEsFBgAAAAAGAAYAWQEAADkGAAAAAA==&#10;" adj="21506,36535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 w14:paraId="4830AC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spacing w:line="240" w:lineRule="auto"/>
                        <w:jc w:val="center"/>
                        <w:textAlignment w:val="baseline"/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1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1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改造范围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206375</wp:posOffset>
                </wp:positionV>
                <wp:extent cx="728980" cy="222250"/>
                <wp:effectExtent l="6985" t="6350" r="6985" b="24765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900" y="7449820"/>
                          <a:ext cx="728980" cy="222250"/>
                        </a:xfrm>
                        <a:prstGeom prst="wedgeRectCallout">
                          <a:avLst>
                            <a:gd name="adj1" fmla="val -48519"/>
                            <a:gd name="adj2" fmla="val 15142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3FE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21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控调范围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7pt;margin-top:16.25pt;height:17.5pt;width:57.4pt;z-index:251659264;v-text-anchor:middle;mso-width-relative:page;mso-height-relative:page;" fillcolor="#4874CB [3204]" filled="t" stroked="t" coordsize="21600,21600" o:gfxdata="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VrBtodUAAAAJAQAADwAAAAAAAAABACAAAAAiAAAAZHJz&#10;L2Rvd25yZXYueG1sUEsBAhQAFAAAAAgAh07iQH5pkHCyAgAAXwUAAA4AAAAAAAAAAQAgAAAAJAEA&#10;AGRycy9lMm9Eb2MueG1sUEsFBgAAAAAGAAYAWQEAAEgGAAAAAA==&#10;" adj="320,43508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 w14:paraId="58C3FE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spacing w:line="240" w:lineRule="auto"/>
                        <w:jc w:val="center"/>
                        <w:textAlignment w:val="baseline"/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21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1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控调范围</w:t>
                      </w:r>
                    </w:p>
                  </w:txbxContent>
                </v:textbox>
              </v:shape>
            </w:pict>
          </mc:Fallback>
        </mc:AlternateContent>
      </w:r>
    </w:p>
    <w:p w14:paraId="6A38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项目改造范围示意图</w:t>
      </w:r>
    </w:p>
    <w:p w14:paraId="48208558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sz w:val="21"/>
        </w:rPr>
      </w:pPr>
      <w:r>
        <w:rPr>
          <w:rFonts w:cs="宋体" w:asciiTheme="majorEastAsia" w:hAnsiTheme="majorEastAsia" w:eastAsiaTheme="majorEastAsia"/>
          <w:sz w:val="21"/>
          <w:szCs w:val="21"/>
        </w:rPr>
        <w:t>2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、工作内容：包括改造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实施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方案</w:t>
      </w:r>
      <w:r>
        <w:rPr>
          <w:rFonts w:hint="eastAsia" w:cs="宋体" w:asciiTheme="majorEastAsia" w:hAnsiTheme="majorEastAsia" w:eastAsiaTheme="majorEastAsia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土地勘测定界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控规调整及专章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、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用地报批和批后实施等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相关内容。</w:t>
      </w:r>
    </w:p>
    <w:p w14:paraId="0B64EC2D">
      <w:pPr>
        <w:pStyle w:val="3"/>
        <w:numPr>
          <w:ilvl w:val="0"/>
          <w:numId w:val="1"/>
        </w:numPr>
        <w:tabs>
          <w:tab w:val="left" w:pos="425"/>
          <w:tab w:val="left" w:pos="540"/>
          <w:tab w:val="clear" w:pos="42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工作原则</w:t>
      </w:r>
    </w:p>
    <w:p w14:paraId="009CD6F1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1、规划先行，注重实施</w:t>
      </w:r>
    </w:p>
    <w:p w14:paraId="4D7B26B4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突出</w:t>
      </w:r>
      <w:r>
        <w:rPr>
          <w:rFonts w:hint="eastAsia" w:ascii="宋体" w:hAnsi="宋体"/>
          <w:sz w:val="21"/>
          <w:szCs w:val="21"/>
        </w:rPr>
        <w:t>规划的引领作用，以目标为导向制定切实可行的行动计划，建立建设项目库，按照先规划后建设、不规划不实施的工作模式，提高规划的科学性和可操作性，强化规划的法定地位。</w:t>
      </w:r>
    </w:p>
    <w:p w14:paraId="17A48F0C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2、国际视野和前瞻性原则</w:t>
      </w:r>
    </w:p>
    <w:p w14:paraId="5C27B66B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  <w:highlight w:val="none"/>
        </w:rPr>
        <w:t>按照</w:t>
      </w:r>
      <w:r>
        <w:rPr>
          <w:rFonts w:hint="eastAsia" w:ascii="宋体" w:hAnsi="宋体"/>
          <w:sz w:val="21"/>
          <w:szCs w:val="21"/>
          <w:highlight w:val="none"/>
        </w:rPr>
        <w:t>高质量发展的要求，发挥空铁融合发展示范区带动作用，以高端高质临空经济为方向，谋划“设计研发</w:t>
      </w:r>
      <w:r>
        <w:rPr>
          <w:rFonts w:ascii="宋体" w:hAnsi="宋体"/>
          <w:sz w:val="21"/>
          <w:szCs w:val="21"/>
          <w:highlight w:val="none"/>
        </w:rPr>
        <w:t>-生产制造-产业服务”的全链条载体，</w:t>
      </w:r>
      <w:r>
        <w:rPr>
          <w:rFonts w:ascii="宋体" w:hAnsi="宋体"/>
          <w:sz w:val="21"/>
          <w:szCs w:val="21"/>
        </w:rPr>
        <w:t>通过借鉴国内外同类型先进地区规划设计和发展建设的经验，以国际视野谋划规划区整体发展，完成具有前瞻性的规划设计成果。</w:t>
      </w:r>
    </w:p>
    <w:p w14:paraId="4E9CF960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3、尊重民意，共同缔造</w:t>
      </w:r>
    </w:p>
    <w:p w14:paraId="43DD1802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在政府主导的原则下，充分尊重相关改造主体的意愿，激发多方参与改造</w:t>
      </w:r>
      <w:r>
        <w:rPr>
          <w:rFonts w:hint="eastAsia" w:ascii="宋体" w:hAnsi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/>
          <w:sz w:val="21"/>
          <w:szCs w:val="21"/>
        </w:rPr>
        <w:t>方案编制和实施的积极性和主观能动性，建立政府、企业、规划师多方协作联动的规划编制工作机制，打造共建共享共治的治理模式。</w:t>
      </w:r>
    </w:p>
    <w:p w14:paraId="23412759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4、“多规合一”原则</w:t>
      </w:r>
    </w:p>
    <w:p w14:paraId="20B5D991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规划应综合协调在编国土空间规划、土地利用总体规划、控制性详细规划与社会经济发展规划之间的关系，特别是注意建设用地在规模与空间布局上的衔接，并统筹各类专项规划，实现“多规合一”。</w:t>
      </w:r>
    </w:p>
    <w:p w14:paraId="0BB67036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5、精细化、品质化原则</w:t>
      </w:r>
    </w:p>
    <w:p w14:paraId="253254E4">
      <w:pPr>
        <w:spacing w:line="360" w:lineRule="auto"/>
        <w:ind w:firstLine="420" w:firstLineChars="200"/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按照</w:t>
      </w:r>
      <w:r>
        <w:rPr>
          <w:rFonts w:hint="eastAsia" w:ascii="宋体" w:hAnsi="宋体"/>
          <w:sz w:val="21"/>
          <w:szCs w:val="21"/>
        </w:rPr>
        <w:t>“精细化、品质化”的要求，从人的尺度和出行需要出发，以高水平城市设计提升地区价值，塑造展现临空先进智造产业特色的城市意向，实现“全覆盖、全要素、全流程”的“三全”城市设计管控，聚焦设计导控，实现精细化品质化全过程管控。</w:t>
      </w:r>
    </w:p>
    <w:p w14:paraId="29D6E348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工作内容</w:t>
      </w:r>
    </w:p>
    <w:p w14:paraId="3E9C12E1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</w:rPr>
        <w:t>改造</w:t>
      </w:r>
      <w:r>
        <w:rPr>
          <w:rFonts w:hint="eastAsia" w:ascii="宋体" w:hAnsi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/>
          <w:sz w:val="21"/>
          <w:szCs w:val="21"/>
        </w:rPr>
        <w:t>方案</w:t>
      </w:r>
    </w:p>
    <w:p w14:paraId="7A21388E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(1)改造实施方案</w:t>
      </w:r>
    </w:p>
    <w:p w14:paraId="7801853D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改造背景、改造范围、现状情况、相关规划情况、产业研究、控规调整建议、城市设计、土地整备方案、经济测算、洪涝市政等专项评估。</w:t>
      </w:r>
    </w:p>
    <w:p w14:paraId="613605E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(2)土地整备与经济测算专题</w:t>
      </w:r>
    </w:p>
    <w:p w14:paraId="78A410C2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1)土地整备（改造范围划定、改造模式、实施路径、各村整备分区划定、留用地预选址建议、土地腾挪置换方案、用地手续、分期实施范围划定及供地模式）；</w:t>
      </w:r>
    </w:p>
    <w:p w14:paraId="669DB324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2)经济测算（集体土地征收补偿成本匡算、集体物业拆迁补偿成本预评估、村园自主改造拆迁成本匡算、留用地落地成本匡算、市政道路各类专项债范围成本匡算、各整备分区整备成本匡算、分期整备成本匡算及项目资金平衡测算）。</w:t>
      </w:r>
    </w:p>
    <w:p w14:paraId="01079EED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sz w:val="21"/>
          <w:szCs w:val="21"/>
        </w:rPr>
        <w:t>土地勘测定界</w:t>
      </w:r>
    </w:p>
    <w:p w14:paraId="442AEAED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(1)1:500地籍界线测绘</w:t>
      </w:r>
    </w:p>
    <w:p w14:paraId="4D2082C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图根控制，野外采集数据，属性调查，绘示意图，室内编辑，接边，回放检查，整理资料。</w:t>
      </w:r>
    </w:p>
    <w:p w14:paraId="6A213C7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(2)补发证权籍调查</w:t>
      </w:r>
    </w:p>
    <w:p w14:paraId="38EAC549"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1)调查土地上需补发或变更不动产权证的位置和范围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 w14:paraId="1196F675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2)调查无不动产权属证明（国有土地使用证、国土证、不动产权证书等）的国有土地并进行公示。</w:t>
      </w:r>
    </w:p>
    <w:p w14:paraId="10A90E52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(3)E级控制点</w:t>
      </w:r>
    </w:p>
    <w:p w14:paraId="7A804DD0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观测:计划，准备，观测，量天线高，填写手簿，外业成果整理，检查，搬迁。</w:t>
      </w:r>
    </w:p>
    <w:p w14:paraId="65F52DF6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(4)建筑用地拔地定桩</w:t>
      </w:r>
    </w:p>
    <w:p w14:paraId="48DA3984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集体土地不动产权证、国有土地公示范围的界址点。</w:t>
      </w:r>
    </w:p>
    <w:p w14:paraId="326063A6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(5)地形图测量</w:t>
      </w:r>
    </w:p>
    <w:p w14:paraId="34226D7B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根据改造范围外扩30-50米进行1:500地形图测绘。</w:t>
      </w:r>
    </w:p>
    <w:p w14:paraId="4CA8BD5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sz w:val="21"/>
          <w:szCs w:val="21"/>
        </w:rPr>
        <w:t>控规调整及专章</w:t>
      </w:r>
    </w:p>
    <w:p w14:paraId="443F611C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(1)控规调整方案</w:t>
      </w:r>
    </w:p>
    <w:p w14:paraId="447950E7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分析项目范围内现状情况和规划情况，明确项目发展目标和功能定位，提出用地性质调整方案，优化地块控规指标调整，编制土地利用规划图。</w:t>
      </w:r>
    </w:p>
    <w:p w14:paraId="5FE75086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(2)城市设计方案</w:t>
      </w:r>
    </w:p>
    <w:p w14:paraId="50B2C506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在统筹产业升级与空间重构的基础上，优化功能布局与空间形态，构建多层级公共空间系统，完善交通与景观体系，通过建筑风貌引导和环境品质提升，实现产城融合与可持续发展，内容包括现状分析、设计策略、规划结构、总平面设计、效果图、城市天际线、绿地和开敞空间等。</w:t>
      </w:r>
    </w:p>
    <w:p w14:paraId="2B7E77CC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(3)产业研究专题</w:t>
      </w:r>
    </w:p>
    <w:p w14:paraId="134488BB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基于现状调研和战略研判，通过分析市场、政府等各主体的发展意愿，提出项目产业发展目标和定位，明确地区主导产业体系和空间布局建议，初步明确产业发展方向和发展思路。</w:t>
      </w:r>
    </w:p>
    <w:p w14:paraId="542783F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(4)工业产业区块核查及调整方案</w:t>
      </w:r>
    </w:p>
    <w:p w14:paraId="21F6899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提出产业区块优化建议，论证产业区块调整的必要性和合理性。</w:t>
      </w:r>
    </w:p>
    <w:p w14:paraId="49DBDA1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</w:t>
      </w: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)社会稳定风险评估</w:t>
      </w:r>
    </w:p>
    <w:p w14:paraId="78C024D3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编制环境影响评估报告，主要内容包括控制性规划方案概述与分析、控制性规划方案与相关环保规划区划及法律法规的协调性分析、环境现状调查分析、控制性规划方案实施后的影响预测与评价、控制性规划方案环境影响分析等。</w:t>
      </w:r>
    </w:p>
    <w:p w14:paraId="0CBC114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)交通专项规划及交通影响评估</w:t>
      </w:r>
    </w:p>
    <w:p w14:paraId="52272377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分析项目现状交通情况和规划交通情况，明确项目交通发展目标，确定项目道路交通规划和轨道交通路网、道路红线、断面、交叉口形式等；交通影响评价包括项目概况、评价范围与年限、现状交通情况、交通需求预测、交通影响程度评价、交通系统改善措施与评价，以及结论和建议。</w:t>
      </w:r>
    </w:p>
    <w:p w14:paraId="593CAC27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  <w:lang w:eastAsia="zh-CN"/>
        </w:rPr>
        <w:t>）环境影响评价</w:t>
      </w:r>
    </w:p>
    <w:p w14:paraId="5CAF7658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编制环境影响评估报告，主要内容包括控制性规划方案概述与分析、控制性规划方案与相关环保规划区划及法律法规的协调性分析、环境现状调查分析、控制性规划方案实施后的影响预测与评价、控制性规划方案环境影响分析等。</w:t>
      </w:r>
    </w:p>
    <w:p w14:paraId="73C18884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</w:t>
      </w: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)洪涝安全评估（含海绵城市）</w:t>
      </w:r>
    </w:p>
    <w:p w14:paraId="672E0470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根据《广州市城市开发建设项目海绵城市建设——洪涝安全评估技术指引（试行）》，控制性详细规划阶段的“海绵城市建设——洪涝安全评估”涉及雨水规划、污水规划、防洪规划、城市竖向、海绵专项、防止数学模型等内容。</w:t>
      </w:r>
    </w:p>
    <w:p w14:paraId="3C4FCE45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历史文化遗产评估</w:t>
      </w:r>
    </w:p>
    <w:p w14:paraId="5C35670C">
      <w:pPr>
        <w:spacing w:line="360" w:lineRule="auto"/>
        <w:ind w:firstLine="420" w:firstLineChars="200"/>
        <w:jc w:val="left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default" w:ascii="宋体" w:hAnsi="宋体"/>
          <w:sz w:val="21"/>
          <w:szCs w:val="21"/>
          <w:lang w:val="en-US" w:eastAsia="zh-CN"/>
        </w:rPr>
        <w:t>开展老建筑、古民居古井、工业遗产等历史文化资源的现场调查，形成历史文化遗产影响评估报告，完成评审。</w:t>
      </w:r>
    </w:p>
    <w:p w14:paraId="624BBD2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</w:t>
      </w:r>
      <w:r>
        <w:rPr>
          <w:rFonts w:hint="eastAsia" w:ascii="宋体" w:hAnsi="宋体"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sz w:val="21"/>
          <w:szCs w:val="21"/>
        </w:rPr>
        <w:t>)树木保护专章</w:t>
      </w:r>
    </w:p>
    <w:p w14:paraId="17178784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编制树木保护专章。对项目范围内的现有绿地、连片成林树木、古树名木及古树后续资源的现状进行摸查。根据调查数据，结合项目规划提出树木分级保护要求及保护方式：明确现有绿地的保护方式，连片成林的优化规划为绿地；古树名木、古树后续资源制定一树一策保护方案。</w:t>
      </w:r>
    </w:p>
    <w:p w14:paraId="4A349355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)主骨架路网调整论证报告</w:t>
      </w:r>
    </w:p>
    <w:p w14:paraId="3622E681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包括调整方案说明及调整必要性与可行性分析。调整方案说明主要梳理明确上位规划、主骨架路网红线规划“一张图”、既有详细规划、近期实施，分析拟调整道路功能定位。调整必要性分析主要结合国土空间规划、交通专项规划、土地开发利用、规划空间布局等，论述调整的必要性。调整可行性分析主要包含工程可行性、历史审批、相关规划协调（永农文保等）、征地拆迁、相关权属单位意见、调整影响分析等。</w:t>
      </w:r>
    </w:p>
    <w:p w14:paraId="677BBC41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)市政基础设施专章</w:t>
      </w:r>
    </w:p>
    <w:p w14:paraId="0B4FA87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全面评估项目及周边区域市政设施现状和市政规划成果（含管线迁改），分析支撑项目开发的市政和竖向设计实际需求。</w:t>
      </w:r>
    </w:p>
    <w:p w14:paraId="0DAD07D7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)耕作层剥离方案</w:t>
      </w:r>
    </w:p>
    <w:p w14:paraId="4CEEF0F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项目区占用耕地情况分析、耕作层剥离条件论证分析、土壤调查分析、对于耕地可剥离地块编制耕作层剥离及再利用方案、方案修改完善及报批。</w:t>
      </w:r>
    </w:p>
    <w:p w14:paraId="20A33C4B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</w:t>
      </w: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)地质灾害危险评估</w:t>
      </w:r>
    </w:p>
    <w:p w14:paraId="7021796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在综合分析研究现有资料的基础上，通过地质环境综合调查，阐明地块的地质环境条件基本特征；分析论证地块各种地质灾害的危害性和危险性，进行现状评估、预测评估和综合评估；评估地块场地的适宜性，提出地质灾害防治措施与建议；地质灾害危险性评估报告。</w:t>
      </w:r>
    </w:p>
    <w:p w14:paraId="63ECC9E7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sz w:val="21"/>
          <w:szCs w:val="21"/>
        </w:rPr>
        <w:t>用地报批</w:t>
      </w:r>
    </w:p>
    <w:p w14:paraId="3168A2A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(1)用地报批</w:t>
      </w:r>
    </w:p>
    <w:p w14:paraId="2F43D7C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协助编制组卷材料、协助完成留用地指标核定工作、协助完成征地前期工作、社保审核工作、成果上报审批。</w:t>
      </w:r>
    </w:p>
    <w:p w14:paraId="7093076C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(2)用地报批（留用地，只转不征）</w:t>
      </w:r>
    </w:p>
    <w:p w14:paraId="62CBA2DF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协助编制组卷材料、协助完成留用地指标核定工作、协助完成征地前期工作、社保审核工作、成果上报审批。</w:t>
      </w:r>
    </w:p>
    <w:p w14:paraId="0785C630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5、</w:t>
      </w:r>
      <w:r>
        <w:rPr>
          <w:rFonts w:hint="eastAsia" w:ascii="宋体" w:hAnsi="宋体"/>
          <w:sz w:val="21"/>
          <w:szCs w:val="21"/>
        </w:rPr>
        <w:t>批后实施</w:t>
      </w:r>
    </w:p>
    <w:p w14:paraId="4D262398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(1)批后实施不动产权籍调查</w:t>
      </w:r>
    </w:p>
    <w:p w14:paraId="3F15081B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留用地用地批复后，调查土地用范围及权属情况、发证集体建设用地使用权证。</w:t>
      </w:r>
    </w:p>
    <w:p w14:paraId="06A32E09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(2)供地手续办理</w:t>
      </w:r>
    </w:p>
    <w:p w14:paraId="154BDC24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b/>
          <w:sz w:val="21"/>
          <w:szCs w:val="21"/>
          <w:lang w:eastAsia="zh-TW"/>
        </w:rPr>
      </w:pPr>
      <w:r>
        <w:rPr>
          <w:rFonts w:hint="eastAsia" w:ascii="宋体" w:hAnsi="宋体"/>
          <w:sz w:val="21"/>
          <w:szCs w:val="21"/>
        </w:rPr>
        <w:t>协助编制组卷材料、协助完成留用地指标核定工作、协助完成征地前期工作、社保审核工作、供地方案编制、成果上报审批。</w:t>
      </w:r>
    </w:p>
    <w:p w14:paraId="40E7A88C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成果要求</w:t>
      </w:r>
    </w:p>
    <w:p w14:paraId="359FD379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（一）改造实施方案成果</w:t>
      </w:r>
    </w:p>
    <w:p w14:paraId="4571488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1）</w:t>
      </w:r>
      <w:r>
        <w:rPr>
          <w:rFonts w:hint="eastAsia" w:ascii="宋体" w:hAnsi="宋体"/>
          <w:sz w:val="21"/>
          <w:szCs w:val="21"/>
          <w:lang w:val="en-US" w:eastAsia="zh-CN"/>
        </w:rPr>
        <w:t>项目概况</w:t>
      </w:r>
    </w:p>
    <w:p w14:paraId="0B1AB8E5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2）现状及相关规划</w:t>
      </w:r>
    </w:p>
    <w:p w14:paraId="720ECA77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3）</w:t>
      </w:r>
      <w:r>
        <w:rPr>
          <w:rFonts w:hint="eastAsia" w:ascii="宋体" w:hAnsi="宋体"/>
          <w:sz w:val="21"/>
          <w:szCs w:val="21"/>
        </w:rPr>
        <w:t>更新目标与功能业态</w:t>
      </w:r>
    </w:p>
    <w:p w14:paraId="4DE0D445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（4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更新改造方案</w:t>
      </w:r>
    </w:p>
    <w:p w14:paraId="0FAA3087">
      <w:pPr>
        <w:spacing w:line="360" w:lineRule="auto"/>
        <w:ind w:firstLine="420" w:firstLineChars="2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（5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改造时序与供地方式</w:t>
      </w:r>
    </w:p>
    <w:p w14:paraId="69AD2EB3">
      <w:pPr>
        <w:spacing w:line="360" w:lineRule="auto"/>
        <w:ind w:firstLine="420" w:firstLineChars="2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（6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拆迁补偿安置方案</w:t>
      </w:r>
    </w:p>
    <w:p w14:paraId="27E9B99F">
      <w:pPr>
        <w:spacing w:line="360" w:lineRule="auto"/>
        <w:ind w:firstLine="420" w:firstLineChars="2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（7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专项评估</w:t>
      </w:r>
    </w:p>
    <w:p w14:paraId="67E66571">
      <w:pPr>
        <w:spacing w:line="360" w:lineRule="auto"/>
        <w:ind w:firstLine="420" w:firstLineChars="2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（8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征求意见情况</w:t>
      </w:r>
    </w:p>
    <w:p w14:paraId="44705D8A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（9</w:t>
      </w:r>
      <w:r>
        <w:rPr>
          <w:rFonts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效益分析</w:t>
      </w:r>
    </w:p>
    <w:p w14:paraId="7A110E72">
      <w:pPr>
        <w:spacing w:line="360" w:lineRule="auto"/>
        <w:ind w:firstLine="420" w:firstLineChars="200"/>
        <w:jc w:val="left"/>
        <w:rPr>
          <w:rFonts w:hint="default" w:ascii="宋体" w:hAnsi="宋体"/>
          <w:sz w:val="21"/>
          <w:szCs w:val="21"/>
          <w:lang w:val="en-US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二</w:t>
      </w:r>
      <w:r>
        <w:rPr>
          <w:rFonts w:hint="eastAsia" w:ascii="宋体" w:hAnsi="宋体"/>
          <w:sz w:val="21"/>
          <w:szCs w:val="21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土地勘测定界成果</w:t>
      </w:r>
    </w:p>
    <w:p w14:paraId="07FF8B1D"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（1）1:500地籍界线测绘</w:t>
      </w:r>
    </w:p>
    <w:p w14:paraId="4F05FAA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（2）补发证权籍调查</w:t>
      </w:r>
    </w:p>
    <w:p w14:paraId="5CB951A6"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（3）地形图</w:t>
      </w:r>
      <w:r>
        <w:rPr>
          <w:rFonts w:hint="eastAsia" w:ascii="宋体" w:hAnsi="宋体"/>
          <w:sz w:val="21"/>
          <w:szCs w:val="21"/>
          <w:lang w:val="en-US" w:eastAsia="zh-CN"/>
        </w:rPr>
        <w:t>测量</w:t>
      </w:r>
    </w:p>
    <w:p w14:paraId="57F1100B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sz w:val="21"/>
          <w:szCs w:val="21"/>
        </w:rPr>
        <w:t>）控规</w:t>
      </w:r>
      <w:r>
        <w:rPr>
          <w:rFonts w:hint="eastAsia" w:ascii="宋体" w:hAnsi="宋体"/>
          <w:sz w:val="21"/>
          <w:szCs w:val="21"/>
          <w:lang w:val="en-US" w:eastAsia="zh-CN"/>
        </w:rPr>
        <w:t>调整</w:t>
      </w:r>
      <w:r>
        <w:rPr>
          <w:rFonts w:hint="eastAsia" w:ascii="宋体" w:hAnsi="宋体"/>
          <w:sz w:val="21"/>
          <w:szCs w:val="21"/>
        </w:rPr>
        <w:t>成果</w:t>
      </w:r>
    </w:p>
    <w:p w14:paraId="7A50632B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（1）控规</w:t>
      </w:r>
      <w:r>
        <w:rPr>
          <w:rFonts w:hint="eastAsia" w:ascii="宋体" w:hAnsi="宋体"/>
          <w:sz w:val="21"/>
          <w:szCs w:val="21"/>
          <w:lang w:val="en-US" w:eastAsia="zh-CN"/>
        </w:rPr>
        <w:t>调整</w:t>
      </w:r>
      <w:r>
        <w:rPr>
          <w:rFonts w:hint="eastAsia" w:ascii="宋体" w:hAnsi="宋体"/>
          <w:sz w:val="21"/>
          <w:szCs w:val="21"/>
        </w:rPr>
        <w:t>方案</w:t>
      </w:r>
    </w:p>
    <w:p w14:paraId="67FF588B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</w:t>
      </w:r>
      <w:r>
        <w:rPr>
          <w:rFonts w:hint="eastAsia" w:ascii="宋体" w:hAnsi="宋体"/>
          <w:sz w:val="21"/>
          <w:szCs w:val="21"/>
          <w:lang w:val="en-US" w:eastAsia="zh-CN"/>
        </w:rPr>
        <w:t>城市设计</w:t>
      </w:r>
    </w:p>
    <w:p w14:paraId="3ADC4BA6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（3）工业产业区块调整</w:t>
      </w:r>
    </w:p>
    <w:p w14:paraId="146C3E4A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（4）交通专项规划及交通影响评估</w:t>
      </w:r>
    </w:p>
    <w:p w14:paraId="6E22BD68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（5）洪涝安全评估（含海绵城市专篇）</w:t>
      </w:r>
    </w:p>
    <w:p w14:paraId="0BC9CD54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（6）市政基础设施专章</w:t>
      </w:r>
    </w:p>
    <w:p w14:paraId="36B6044F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（7）环境影响评价</w:t>
      </w:r>
    </w:p>
    <w:p w14:paraId="47823C12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（8）树木保护专章</w:t>
      </w:r>
    </w:p>
    <w:p w14:paraId="1594E2AE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（9）其他专项评估</w:t>
      </w:r>
    </w:p>
    <w:p w14:paraId="014BCDF9"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sz w:val="21"/>
          <w:szCs w:val="21"/>
        </w:rPr>
        <w:t>）用地报批</w:t>
      </w:r>
      <w:r>
        <w:rPr>
          <w:rFonts w:hint="eastAsia" w:ascii="宋体" w:hAnsi="宋体"/>
          <w:sz w:val="21"/>
          <w:szCs w:val="21"/>
          <w:lang w:val="en-US" w:eastAsia="zh-CN"/>
        </w:rPr>
        <w:t>成果</w:t>
      </w:r>
    </w:p>
    <w:p w14:paraId="368DDFA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（1）协助完善供地前期工作</w:t>
      </w:r>
    </w:p>
    <w:p w14:paraId="1E136F78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（2）补办土地征收手续</w:t>
      </w:r>
    </w:p>
    <w:p w14:paraId="2BE3FA48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（3）办理用地报批手续</w:t>
      </w:r>
    </w:p>
    <w:p w14:paraId="6239DBF8">
      <w:pPr>
        <w:spacing w:line="360" w:lineRule="auto"/>
        <w:ind w:firstLine="420" w:firstLineChars="2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五</w:t>
      </w:r>
      <w:r>
        <w:rPr>
          <w:rFonts w:hint="eastAsia" w:ascii="宋体" w:hAnsi="宋体"/>
          <w:sz w:val="21"/>
          <w:szCs w:val="21"/>
        </w:rPr>
        <w:t>）批</w:t>
      </w:r>
      <w:r>
        <w:rPr>
          <w:rFonts w:hint="eastAsia" w:ascii="宋体" w:hAnsi="宋体"/>
          <w:sz w:val="21"/>
          <w:szCs w:val="21"/>
          <w:lang w:val="en-US" w:eastAsia="zh-CN"/>
        </w:rPr>
        <w:t>后实施成果</w:t>
      </w:r>
    </w:p>
    <w:p w14:paraId="203DBAC5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）批后实施不动产权籍调查</w:t>
      </w:r>
    </w:p>
    <w:p w14:paraId="460BFE14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>办理土地供应服务</w:t>
      </w:r>
    </w:p>
    <w:p w14:paraId="792BF432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b/>
          <w:sz w:val="21"/>
          <w:szCs w:val="21"/>
          <w:lang w:eastAsia="zh-TW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六</w:t>
      </w:r>
      <w:r>
        <w:rPr>
          <w:rFonts w:hint="eastAsia" w:ascii="宋体" w:hAnsi="宋体"/>
          <w:sz w:val="21"/>
          <w:szCs w:val="21"/>
        </w:rPr>
        <w:t>）项目全流程涉及的其他相关服务内容</w:t>
      </w:r>
    </w:p>
    <w:p w14:paraId="7B3C3402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成果报送及审查规定</w:t>
      </w:r>
    </w:p>
    <w:p w14:paraId="38DC30BA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（一）</w:t>
      </w:r>
      <w:r>
        <w:rPr>
          <w:rFonts w:hint="eastAsia" w:ascii="宋体" w:hAnsi="宋体"/>
          <w:sz w:val="21"/>
          <w:szCs w:val="21"/>
          <w:lang w:val="en-US" w:eastAsia="zh-CN"/>
        </w:rPr>
        <w:t>中标人</w:t>
      </w:r>
      <w:r>
        <w:rPr>
          <w:rFonts w:hint="eastAsia" w:ascii="宋体" w:hAnsi="宋体"/>
          <w:sz w:val="21"/>
          <w:szCs w:val="21"/>
        </w:rPr>
        <w:t>需负责提供各审查阶段所必需的成果、方案介绍等汇报资料。</w:t>
      </w:r>
    </w:p>
    <w:p w14:paraId="6CEE4B5D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（二）各审批环节报送的规划设计文件，</w:t>
      </w:r>
      <w:r>
        <w:rPr>
          <w:rFonts w:hint="eastAsia" w:ascii="宋体" w:hAnsi="宋体"/>
          <w:sz w:val="21"/>
          <w:szCs w:val="21"/>
          <w:lang w:val="en-US" w:eastAsia="zh-CN"/>
        </w:rPr>
        <w:t>中标人</w:t>
      </w:r>
      <w:r>
        <w:rPr>
          <w:rFonts w:hint="eastAsia" w:ascii="宋体" w:hAnsi="宋体"/>
          <w:sz w:val="21"/>
          <w:szCs w:val="21"/>
        </w:rPr>
        <w:t>必须于审查前</w:t>
      </w:r>
      <w:r>
        <w:rPr>
          <w:rFonts w:ascii="宋体" w:hAnsi="宋体"/>
          <w:sz w:val="21"/>
          <w:szCs w:val="21"/>
        </w:rPr>
        <w:t>3天提交区城市更新主管</w:t>
      </w:r>
      <w:r>
        <w:rPr>
          <w:rFonts w:hint="eastAsia" w:ascii="宋体" w:hAnsi="宋体"/>
          <w:sz w:val="21"/>
          <w:szCs w:val="21"/>
        </w:rPr>
        <w:t>部门，经清点文件后签收登记。</w:t>
      </w:r>
    </w:p>
    <w:p w14:paraId="45ACFAD0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（三）初审和终审的具体时间经技术协调单位与承接单位双方协商确定，</w:t>
      </w:r>
      <w:r>
        <w:rPr>
          <w:rFonts w:hint="eastAsia" w:ascii="宋体" w:hAnsi="宋体"/>
          <w:sz w:val="21"/>
          <w:szCs w:val="21"/>
          <w:lang w:val="en-US" w:eastAsia="zh-CN"/>
        </w:rPr>
        <w:t>中标人</w:t>
      </w:r>
      <w:r>
        <w:rPr>
          <w:rFonts w:hint="eastAsia" w:ascii="宋体" w:hAnsi="宋体"/>
          <w:sz w:val="21"/>
          <w:szCs w:val="21"/>
        </w:rPr>
        <w:t>必须于审查前派专人将规划成果送达区城市更新主管部门。</w:t>
      </w:r>
    </w:p>
    <w:p w14:paraId="31668E49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（四）</w:t>
      </w:r>
      <w:r>
        <w:rPr>
          <w:rFonts w:hint="eastAsia" w:ascii="宋体" w:hAnsi="宋体"/>
          <w:sz w:val="21"/>
          <w:szCs w:val="21"/>
          <w:lang w:val="en-US" w:eastAsia="zh-CN"/>
        </w:rPr>
        <w:t>中标人</w:t>
      </w:r>
      <w:r>
        <w:rPr>
          <w:rFonts w:hint="eastAsia" w:ascii="宋体" w:hAnsi="宋体"/>
          <w:sz w:val="21"/>
          <w:szCs w:val="21"/>
        </w:rPr>
        <w:t>提交的成果应在方案图纸和文本缩印本上标注委托单位名称、设计单位名称、设计人员名单、法定代表人（或法定代表人委托代理人），并盖印公章。</w:t>
      </w:r>
      <w:r>
        <w:rPr>
          <w:rFonts w:ascii="宋体" w:hAnsi="宋体"/>
          <w:sz w:val="21"/>
          <w:szCs w:val="21"/>
        </w:rPr>
        <w:t xml:space="preserve"> </w:t>
      </w:r>
    </w:p>
    <w:p w14:paraId="7B9D44E0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b/>
          <w:sz w:val="21"/>
          <w:szCs w:val="21"/>
          <w:lang w:eastAsia="zh-TW"/>
        </w:rPr>
      </w:pPr>
      <w:r>
        <w:rPr>
          <w:rFonts w:ascii="宋体" w:hAnsi="宋体"/>
          <w:sz w:val="21"/>
          <w:szCs w:val="21"/>
        </w:rPr>
        <w:t>（五）如因项目审批环节</w:t>
      </w:r>
      <w:r>
        <w:rPr>
          <w:rFonts w:hint="eastAsia" w:ascii="宋体" w:hAnsi="宋体"/>
          <w:sz w:val="21"/>
          <w:szCs w:val="21"/>
        </w:rPr>
        <w:t>时间超出预期而造成规划设计方未能在规定期限内完成项目，项目完成的时间可适当延后。具体时间由</w:t>
      </w:r>
      <w:r>
        <w:rPr>
          <w:rFonts w:hint="eastAsia" w:ascii="宋体" w:hAnsi="宋体"/>
          <w:sz w:val="21"/>
          <w:szCs w:val="21"/>
          <w:lang w:val="en-US" w:eastAsia="zh-CN"/>
        </w:rPr>
        <w:t>中标人</w:t>
      </w:r>
      <w:r>
        <w:rPr>
          <w:rFonts w:hint="eastAsia" w:ascii="宋体" w:hAnsi="宋体"/>
          <w:sz w:val="21"/>
          <w:szCs w:val="21"/>
        </w:rPr>
        <w:t>与规划编制组织单位协商确定。</w:t>
      </w:r>
    </w:p>
    <w:p w14:paraId="7051722D">
      <w:pPr>
        <w:pStyle w:val="3"/>
        <w:numPr>
          <w:ilvl w:val="0"/>
          <w:numId w:val="1"/>
        </w:numPr>
        <w:tabs>
          <w:tab w:val="left" w:pos="54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团队要求</w:t>
      </w:r>
    </w:p>
    <w:p w14:paraId="762A1CA1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1、项目负责人：供应商须派出</w:t>
      </w:r>
      <w:r>
        <w:rPr>
          <w:rFonts w:ascii="宋体" w:hAnsi="宋体"/>
          <w:sz w:val="21"/>
          <w:szCs w:val="21"/>
        </w:rPr>
        <w:t>1名项目负责人，主要负责本项目从领取中标通知书开始至所有</w:t>
      </w:r>
      <w:r>
        <w:rPr>
          <w:rFonts w:hint="eastAsia" w:ascii="宋体" w:hAnsi="宋体"/>
          <w:sz w:val="21"/>
          <w:szCs w:val="21"/>
        </w:rPr>
        <w:t>成果文件验收完毕的所有工作安排、人员组织、技术支持等相关工作。项目负责人应具有城市（乡）规划高级（或以上）工程师职称。</w:t>
      </w:r>
    </w:p>
    <w:p w14:paraId="624404FE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b/>
          <w:sz w:val="21"/>
          <w:szCs w:val="21"/>
          <w:lang w:eastAsia="zh-TW"/>
        </w:rPr>
      </w:pPr>
      <w:r>
        <w:rPr>
          <w:rFonts w:hint="eastAsia" w:ascii="宋体" w:hAnsi="宋体"/>
          <w:sz w:val="21"/>
          <w:szCs w:val="21"/>
        </w:rPr>
        <w:t>2、技术人员（不含项目负责人）：供应商须安排</w:t>
      </w:r>
      <w:r>
        <w:rPr>
          <w:rFonts w:ascii="宋体" w:hAnsi="宋体"/>
          <w:sz w:val="21"/>
          <w:szCs w:val="21"/>
        </w:rPr>
        <w:t>6名以上技术人员参与本项目，且当人员不够时</w:t>
      </w:r>
      <w:r>
        <w:rPr>
          <w:rFonts w:hint="eastAsia" w:ascii="宋体" w:hAnsi="宋体"/>
          <w:sz w:val="21"/>
          <w:szCs w:val="21"/>
        </w:rPr>
        <w:t>，应及时增派人员，满足项目实际需求，保证项目进度。</w:t>
      </w:r>
    </w:p>
    <w:p w14:paraId="28F7B7CC">
      <w:pPr>
        <w:pStyle w:val="3"/>
        <w:numPr>
          <w:ilvl w:val="0"/>
          <w:numId w:val="1"/>
        </w:numPr>
        <w:tabs>
          <w:tab w:val="left" w:pos="425"/>
          <w:tab w:val="left" w:pos="540"/>
          <w:tab w:val="clear" w:pos="42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采购实施的地点：</w:t>
      </w:r>
      <w:r>
        <w:rPr>
          <w:rFonts w:hint="eastAsia" w:cs="宋体" w:asciiTheme="majorEastAsia" w:hAnsiTheme="majorEastAsia" w:eastAsiaTheme="majorEastAsia"/>
          <w:sz w:val="21"/>
        </w:rPr>
        <w:t>广州市（采购人指定地点）</w:t>
      </w:r>
    </w:p>
    <w:p w14:paraId="784F2988">
      <w:pPr>
        <w:pStyle w:val="3"/>
        <w:numPr>
          <w:ilvl w:val="0"/>
          <w:numId w:val="1"/>
        </w:numPr>
        <w:tabs>
          <w:tab w:val="left" w:pos="425"/>
          <w:tab w:val="left" w:pos="540"/>
          <w:tab w:val="clear" w:pos="420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验收要求：</w:t>
      </w:r>
      <w:r>
        <w:rPr>
          <w:rFonts w:hint="eastAsia" w:cs="宋体" w:asciiTheme="majorEastAsia" w:hAnsiTheme="majorEastAsia" w:eastAsiaTheme="majorEastAsia"/>
          <w:sz w:val="21"/>
        </w:rPr>
        <w:t>项目成果要达到符合相关审批部门的审批要求，以通过审批部门批准作为验收标准。</w:t>
      </w:r>
    </w:p>
    <w:p w14:paraId="09E64B49">
      <w:pPr>
        <w:pStyle w:val="3"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Theme="majorEastAsia" w:hAnsiTheme="majorEastAsia" w:eastAsiaTheme="majorEastAsia"/>
          <w:b/>
          <w:sz w:val="21"/>
        </w:rPr>
      </w:pPr>
      <w:r>
        <w:rPr>
          <w:rFonts w:hint="eastAsia" w:asciiTheme="majorEastAsia" w:hAnsiTheme="majorEastAsia" w:eastAsiaTheme="majorEastAsia"/>
          <w:b/>
          <w:sz w:val="21"/>
        </w:rPr>
        <w:t>付款及结算方式</w:t>
      </w:r>
    </w:p>
    <w:p w14:paraId="745E0EC6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>合同款支付进度：</w:t>
      </w:r>
    </w:p>
    <w:p w14:paraId="585845E9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1期：支付比例20%，合同签订生效后10个工作日内，采购人向中标人预支付合同款总额的20%；</w:t>
      </w:r>
    </w:p>
    <w:p w14:paraId="0F9817D5">
      <w:pPr>
        <w:spacing w:line="360" w:lineRule="auto"/>
        <w:ind w:firstLine="420" w:firstLineChars="200"/>
        <w:jc w:val="left"/>
        <w:rPr>
          <w:rFonts w:hint="default" w:cs="宋体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2期：支付比例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0%，提交控规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调整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方案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和改造实施方案初步成果，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采购人向中标人支付合同款总额的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</w:t>
      </w:r>
    </w:p>
    <w:p w14:paraId="08CE83E4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3期：支付比例20%，提高控规调整正式稿并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通过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相应会议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审议后，采购人向中标人支付合同款总额的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0%；</w:t>
      </w:r>
    </w:p>
    <w:p w14:paraId="0A31AE27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4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期：支付比例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0%，提交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改造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实施方案成果文件正式稿并通过区村镇工业集聚区升级改造指挥部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会议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审议后，采购人向中标人支付合同款总额的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0%；</w:t>
      </w:r>
    </w:p>
    <w:p w14:paraId="5A9C42FE">
      <w:pPr>
        <w:spacing w:line="360" w:lineRule="auto"/>
        <w:ind w:firstLine="420" w:firstLineChars="200"/>
        <w:jc w:val="left"/>
        <w:rPr>
          <w:rFonts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期：支付比例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0%，完成用地报批并协助村取得相关用地土地权属证后，采购人向中标人支付合同款总额的</w:t>
      </w:r>
      <w:r>
        <w:rPr>
          <w:rFonts w:hint="eastAsia" w:cs="宋体" w:asciiTheme="majorEastAsia" w:hAnsiTheme="majorEastAsia" w:eastAsiaTheme="majorEastAsia"/>
          <w:sz w:val="21"/>
          <w:szCs w:val="21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sz w:val="21"/>
          <w:szCs w:val="21"/>
        </w:rPr>
        <w:t>0%；</w:t>
      </w:r>
    </w:p>
    <w:p w14:paraId="10D8A635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二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>采购人每次付款前，中标人应提供正规等额发票给采购人，如国家税率有调整，按照国家最新增值税税率政策同步执行。采购人自收到发票后 5 个工作日内办理支付手续，支付时间指采购人向拨款部门提出支付申请的时间（不含拨款部门审查的时间）。</w:t>
      </w:r>
    </w:p>
    <w:p w14:paraId="06101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Sans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C4FE1"/>
    <w:multiLevelType w:val="multilevel"/>
    <w:tmpl w:val="00CC4FE1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7A48C1"/>
    <w:multiLevelType w:val="multilevel"/>
    <w:tmpl w:val="187A48C1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Courier New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4F0AA2"/>
    <w:rsid w:val="0E8F512C"/>
    <w:rsid w:val="0F2B1DD8"/>
    <w:rsid w:val="20142AD8"/>
    <w:rsid w:val="24F1107B"/>
    <w:rsid w:val="27203769"/>
    <w:rsid w:val="2B3B1BEA"/>
    <w:rsid w:val="2F2D7712"/>
    <w:rsid w:val="30462521"/>
    <w:rsid w:val="30C97D22"/>
    <w:rsid w:val="3E7F48C3"/>
    <w:rsid w:val="3EAC2488"/>
    <w:rsid w:val="3FFA7C98"/>
    <w:rsid w:val="41BB7257"/>
    <w:rsid w:val="42BC05C8"/>
    <w:rsid w:val="49713001"/>
    <w:rsid w:val="4AC565F9"/>
    <w:rsid w:val="4D045777"/>
    <w:rsid w:val="55CC64CB"/>
    <w:rsid w:val="58992C32"/>
    <w:rsid w:val="5A137381"/>
    <w:rsid w:val="5F681F1D"/>
    <w:rsid w:val="637807A0"/>
    <w:rsid w:val="64B074A3"/>
    <w:rsid w:val="653B089F"/>
    <w:rsid w:val="6A8C1096"/>
    <w:rsid w:val="6C7706DF"/>
    <w:rsid w:val="6E4A5709"/>
    <w:rsid w:val="6F9A0A57"/>
    <w:rsid w:val="753C7334"/>
    <w:rsid w:val="759E03DF"/>
    <w:rsid w:val="77A740B3"/>
    <w:rsid w:val="79966BD6"/>
    <w:rsid w:val="7A7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  <w:style w:type="character" w:styleId="6">
    <w:name w:val="annotation reference"/>
    <w:qFormat/>
    <w:uiPriority w:val="0"/>
    <w:rPr>
      <w:sz w:val="21"/>
      <w:szCs w:val="21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="Times New Roman"/>
      <w:color w:val="00000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4630</Words>
  <Characters>4747</Characters>
  <Lines>0</Lines>
  <Paragraphs>0</Paragraphs>
  <TotalTime>32</TotalTime>
  <ScaleCrop>false</ScaleCrop>
  <LinksUpToDate>false</LinksUpToDate>
  <CharactersWithSpaces>4751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2025-06-25T02:05:00Z</dcterms:created>
  <dc:creator>超级ET</dc:creator>
  <cp:lastModifiedBy>招标代理公司-lili</cp:lastModifiedBy>
  <dcterms:modified xsi:type="dcterms:W3CDTF">2025-07-03T01:10:36Z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eyJoZGlkIjoiN2I5ZWVjYzIzMTFkZDkwNmE2MGNlNWMzMjQxODMwYjAiLCJ1c2VySWQiOiI0MjMwMjExNjEifQ==</vt:lpwstr>
  </property>
  <property fmtid="{D5CDD505-2E9C-101B-9397-08002B2CF9AE}" pid="4" name="ICV">
    <vt:lpwstr>12D6C44D117842AF880A1A601A58B80E_13</vt:lpwstr>
  </property>
</Properties>
</file>