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2E60" w14:textId="37D882EC" w:rsidR="006F493E" w:rsidRPr="00DD6ABB" w:rsidRDefault="00DD6ABB" w:rsidP="004D4083">
      <w:pPr>
        <w:spacing w:beforeLines="100" w:before="312" w:afterLines="100" w:after="312" w:line="360" w:lineRule="auto"/>
        <w:jc w:val="center"/>
        <w:rPr>
          <w:rFonts w:ascii="宋体" w:eastAsia="宋体" w:hAnsi="宋体"/>
          <w:b/>
          <w:bCs/>
          <w:sz w:val="32"/>
          <w:szCs w:val="32"/>
        </w:rPr>
      </w:pPr>
      <w:r w:rsidRPr="00DD6ABB">
        <w:rPr>
          <w:rFonts w:ascii="宋体" w:eastAsia="宋体" w:hAnsi="宋体"/>
          <w:b/>
          <w:bCs/>
          <w:sz w:val="32"/>
          <w:szCs w:val="32"/>
        </w:rPr>
        <w:t>2025-2027年度广州空港经济区储备地块综合管理服务</w:t>
      </w:r>
    </w:p>
    <w:p w14:paraId="406B4FD7" w14:textId="0D10486D" w:rsidR="004D4083" w:rsidRPr="004D4083" w:rsidRDefault="004D4083" w:rsidP="004D4083">
      <w:pPr>
        <w:spacing w:beforeLines="100" w:before="312" w:afterLines="100" w:after="312" w:line="360" w:lineRule="auto"/>
        <w:jc w:val="center"/>
        <w:rPr>
          <w:rFonts w:ascii="宋体" w:eastAsia="宋体" w:hAnsi="宋体"/>
          <w:b/>
          <w:bCs/>
          <w:sz w:val="28"/>
          <w:szCs w:val="28"/>
        </w:rPr>
      </w:pPr>
      <w:r w:rsidRPr="004D4083">
        <w:rPr>
          <w:rFonts w:ascii="宋体" w:eastAsia="宋体" w:hAnsi="宋体" w:hint="eastAsia"/>
          <w:b/>
          <w:bCs/>
          <w:sz w:val="28"/>
          <w:szCs w:val="28"/>
        </w:rPr>
        <w:t>采购需求书</w:t>
      </w:r>
    </w:p>
    <w:p w14:paraId="1B780117" w14:textId="0ADFA28A" w:rsidR="004D4083" w:rsidRPr="004D4083" w:rsidRDefault="004D4083" w:rsidP="004D4083">
      <w:pPr>
        <w:spacing w:beforeLines="25" w:before="78" w:afterLines="25" w:after="78" w:line="360" w:lineRule="auto"/>
        <w:rPr>
          <w:rFonts w:ascii="宋体" w:eastAsia="宋体" w:hAnsi="宋体"/>
          <w:b/>
          <w:bCs/>
          <w:sz w:val="24"/>
        </w:rPr>
      </w:pPr>
      <w:r w:rsidRPr="004D4083">
        <w:rPr>
          <w:rFonts w:ascii="宋体" w:eastAsia="宋体" w:hAnsi="宋体" w:hint="eastAsia"/>
          <w:b/>
          <w:bCs/>
          <w:sz w:val="24"/>
        </w:rPr>
        <w:t>一、地块巡查管理</w:t>
      </w:r>
    </w:p>
    <w:p w14:paraId="65CE83C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（一）投标人的工作内容及要求</w:t>
      </w:r>
    </w:p>
    <w:p w14:paraId="3EA3555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1.地块巡查管理总体要求</w:t>
      </w:r>
    </w:p>
    <w:p w14:paraId="1B0EE7B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采购人与投标人签订合同后，具体巡查管理地块在广州空港经济区重点开发区域内，由采购人指派委托，投标人须服从指派。采购人必须提前通知投标人进场时间和退场时间，投标人必须无条件根据采购人的时间要求完成相应工作，并不得以此为由要求采购人给予任何补偿。</w:t>
      </w:r>
    </w:p>
    <w:p w14:paraId="25DB446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投标人需在接到采购人开展具体地块巡查管理的进场通知后，2个工作日内针对委托服务地块提供具体地块巡查管理方案及报价（根据中标的地块巡查管理综合包干单价计算），由采购人审批同意后，双方签署进场确认书，投标人按实际工作量收取地块巡查管理费。投标人应针对各个地块情况并结合采购人的实际要求制定具体服务方案，对地块进行连续不间断的封闭式管理，包括管护、安全管理、保洁维护及环境保护；投标人应根据政府相关部门对土地、物业管理的要求开展地块巡查管理工作，负责配备地块巡查管理所需的一切服务人员、设施、器材，负责办理相关手续并建立管理档案。采购人有权随时查阅、调用档案。</w:t>
      </w:r>
    </w:p>
    <w:p w14:paraId="67DBC16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（3）采购人向投标人移交地块的标准：现状移交。投标人向采购人移交地块的标准：投标人清理并撤离地块，在确保地块现场安全的情况下，按采购人认可的场地条件将地块交回给采购人。</w:t>
      </w:r>
    </w:p>
    <w:p w14:paraId="7496E5FA"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投标人应建立地块巡查制度，对侵害储备土地权利的行为要做到早发现、早制止、早处理；负责维护地块内的正常秩序，阻止无关人员进入场地，负责管理地块内人员的人身财产安全；管理地块内土地和地上的基础设施、建（构）筑物和附着物，保证不被第三人非法侵占、破坏；保证地块内不被乱倒垃圾、淤泥以及不发生乱搭、乱建情形；地块内建（构）筑物只准拆除不准新建；保证地块边缘的隔离设施不被非法侵占、破坏、涂污；负责清退地块内被非法占用的土地及建（构）筑物；配合采购人做好地块内施工管理，及时发现并制止施工方私</w:t>
      </w:r>
      <w:r w:rsidRPr="004D4083">
        <w:rPr>
          <w:rFonts w:ascii="宋体" w:eastAsia="宋体" w:hAnsi="宋体" w:hint="eastAsia"/>
          <w:sz w:val="24"/>
        </w:rPr>
        <w:lastRenderedPageBreak/>
        <w:t>自搭建、违反使用约定的占用面积或用途使用土地的行为；协助采购人完成其他相关工作；妥善处理工作过程中与第三方的矛盾。</w:t>
      </w:r>
    </w:p>
    <w:p w14:paraId="5C01A10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投标人不得对管理范围内的设施及布置任意作变更。未经采购人同意，在管理期限内，投标人不得使用合同项下土地、地上建（构）筑物和附着物，也不得将合同项下土地、地上建（构）筑物或附着物出租、分租或无偿提供给任何第三方使用。采购人有权随时检查投标人对合同项下地块以及房屋的管理情况，投标人必须积极配合，如发现投标人的地块巡查管理违反合同约定，采购人有权要求投标人在10日内进行整改；如投标人未能及时整改或整改结果不符合合同约定的，采购人有权单方面解除合同，尚未支付的合同服务费不再支付，若由此给采购人造成损失的，投标人还应当赔偿采购人的损失。</w:t>
      </w:r>
    </w:p>
    <w:p w14:paraId="458C6C0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6）开展地块巡查管理期间，因管理不善致地块边缘隔离设施遭第三者破坏，投标人负责在10日内修复并恢复设施功能；第三方使用储备土地内部分土地的，投标人须确保其余储备土地封闭管理条件不变的情况下，才能允许第三方进场使用土地，因第三方进场使用土地导致储备地块失去封闭管理条件的，投标人负责在10日内修复并恢复设施功能；因管理不善致地块内土地被占用、被乱倒垃圾、淤泥或发生乱搭、乱建情形，投标人负责在3日内恢复土地原貌并承担一切费用；若地块因被倾倒垃圾、淤泥造成土壤污染影响地块后续开发使用的，投标人必须同时承担地块的土壤</w:t>
      </w:r>
      <w:proofErr w:type="gramStart"/>
      <w:r w:rsidRPr="004D4083">
        <w:rPr>
          <w:rFonts w:ascii="宋体" w:eastAsia="宋体" w:hAnsi="宋体" w:hint="eastAsia"/>
          <w:sz w:val="24"/>
        </w:rPr>
        <w:t>修复整治</w:t>
      </w:r>
      <w:proofErr w:type="gramEnd"/>
      <w:r w:rsidRPr="004D4083">
        <w:rPr>
          <w:rFonts w:ascii="宋体" w:eastAsia="宋体" w:hAnsi="宋体" w:hint="eastAsia"/>
          <w:sz w:val="24"/>
        </w:rPr>
        <w:t>责任并支付相关费用，如由采购人承担整治工作的，采购人可从应支付给投标人的地块巡查管理费或履约保证金内扣除，在向投标人支付地块巡查管理费时或退回履约保证金时扣减；发现地块外周边区域被乱倒垃圾、淤泥等，影响管理地块的进出或环境卫生，投标人有义务向相关政府部门申诉，直至恢复管理地块正常条件。</w:t>
      </w:r>
    </w:p>
    <w:p w14:paraId="37192F7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7）投标人负责该地块内的安全保卫和消防工作，并承担相应的责任。负责做好防火、防爆炸、防盗、防抢、防破坏、防治安灾害事故等安全防范工作；负责检查地块内消防器材是否齐备合格，预防火灾、自然灾害等事故的发生，保障地块</w:t>
      </w:r>
      <w:proofErr w:type="gramStart"/>
      <w:r w:rsidRPr="004D4083">
        <w:rPr>
          <w:rFonts w:ascii="宋体" w:eastAsia="宋体" w:hAnsi="宋体" w:hint="eastAsia"/>
          <w:sz w:val="24"/>
        </w:rPr>
        <w:t>内生命</w:t>
      </w:r>
      <w:proofErr w:type="gramEnd"/>
      <w:r w:rsidRPr="004D4083">
        <w:rPr>
          <w:rFonts w:ascii="宋体" w:eastAsia="宋体" w:hAnsi="宋体" w:hint="eastAsia"/>
          <w:sz w:val="24"/>
        </w:rPr>
        <w:t>财产安全；防止在地块发生打架、斗殴等恶性事件。</w:t>
      </w:r>
    </w:p>
    <w:p w14:paraId="5C3FE4A4"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8）投标人负责地块内环境卫生管理，保障环境卫生状况符合公共卫生标准；负责地块内环境卫生脏乱窝点的集中整治；负责对地块整体环境进行日常保洁；负责地块上围墙（网）的维护、绿化维护和保养、标示牌的维护。</w:t>
      </w:r>
    </w:p>
    <w:p w14:paraId="1A3348B0"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lastRenderedPageBreak/>
        <w:t>（9）投标人负责建立地块情况每周通报和异常情况即时通报机制，及早发现异常情况及不安全因素，及时进行整改，并在管理档案中相应做好报送地块的现场照片及事件处理进展情况记录；投标人负责处理地块管理相关投诉。</w:t>
      </w:r>
    </w:p>
    <w:p w14:paraId="3C784B00"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（10）投标人负责派出服务人员的作业安全和人身安全，负责开展工作所需设备的管理和安全，确保安全措施到位，承担相关损害和损失的赔偿责任。</w:t>
      </w:r>
    </w:p>
    <w:p w14:paraId="6DE2084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2.地块巡查管理的人员管理及设备要求</w:t>
      </w:r>
    </w:p>
    <w:p w14:paraId="13647E5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投标人派出的管理、巡查、保洁、水电工、后勤等一切人员统称为服务人员。采购人对投标人制定的岗位设置和巡查管理服务方案具有决定权，对参与地块巡查管理的重要岗位设置、人员管理以及重要的管理决策有直接参与权与审批权；如服务人员管理能力低、服务质量差、损害采购人利益，采购人有权采取相应的惩罚措施，或要求投标人更换不符合使用要求的服务人员，投标人应无条件接受要求，并在三个工作日内予以更换；在发生特殊事件和紧急、突发事故时，投标人必须快速派出项目负责人到达现场处理，且采购人对投标人派出的巡查人员有直接指挥权。</w:t>
      </w:r>
    </w:p>
    <w:p w14:paraId="11505EE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投标人应对派出的服务人员进行严格审查，保证录用人员没有刑事犯罪记录，健康状况良好。投标人必须严格按照国家、广东省、广州市有关的劳动法规和保险条例，为服务人员提供完善的劳动权益保障及必须的劳动保护设备。如发生劳资纠纷，由投标人解决，采购人不承担任何责任。若发生劳动争议及出现伤、病、致残及意外死亡情况时，其医药费、抚恤金等费用由保险公司按规定理赔，超出保险理赔的部分费用均由投标人承担，由投标人自己解决并承担相应的法律责任，采购人无连带关系和责任。</w:t>
      </w:r>
    </w:p>
    <w:p w14:paraId="535652D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（3）投标人派出的服务人员在执行职务过程中引起第三人人身或财产损害，由此引起的损害赔偿责任由投标人与服务人员自行解决，与采购人无关。</w:t>
      </w:r>
      <w:proofErr w:type="gramStart"/>
      <w:r w:rsidRPr="004D4083">
        <w:rPr>
          <w:rFonts w:ascii="宋体" w:eastAsia="宋体" w:hAnsi="宋体" w:hint="eastAsia"/>
          <w:sz w:val="24"/>
        </w:rPr>
        <w:t>若导致</w:t>
      </w:r>
      <w:proofErr w:type="gramEnd"/>
      <w:r w:rsidRPr="004D4083">
        <w:rPr>
          <w:rFonts w:ascii="宋体" w:eastAsia="宋体" w:hAnsi="宋体" w:hint="eastAsia"/>
          <w:sz w:val="24"/>
        </w:rPr>
        <w:t>采购人向第三人承担责任的，采购人在承担责任后，投标人应全额赔偿采购人因此遭受的实际损失。</w:t>
      </w:r>
    </w:p>
    <w:p w14:paraId="31B59492"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本项目配置的巡查人员要求为初中毕业以上文化程度，年满18周岁以上，55周岁以下的中国公民，男性身高1.68米以上，女性身高1.55米以上，五官端正、视（裸）力为1.0以上，身体健康，无传染病、无残疾、无明显疤痕或标志、无不良嗜好（吸毒、赌博），品行端正。投标人派出的巡查人员必须全</w:t>
      </w:r>
      <w:r w:rsidRPr="004D4083">
        <w:rPr>
          <w:rFonts w:ascii="宋体" w:eastAsia="宋体" w:hAnsi="宋体" w:hint="eastAsia"/>
          <w:sz w:val="24"/>
        </w:rPr>
        <w:lastRenderedPageBreak/>
        <w:t>天24小时连续不间断对地块进行定点与巡逻相结合的方式看管，须统一着装、佩戴工作证，工作认真负责，上岗严格文明执勤，不得聚众闲谈、睡觉、擅自离岗或干工作无关的事项。</w:t>
      </w:r>
    </w:p>
    <w:p w14:paraId="1E1165E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（5）投标人在派驻管理前必须将每宗地拟安排巡查岗位服务人员名单登记造册，采购人有权对服务人员进行考核。采购人有权对配备的人员真实性进行不定期巡查，投标人须无条件配合。</w:t>
      </w:r>
    </w:p>
    <w:p w14:paraId="1C801A7A"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6）投标人应配备能满足日常地块巡查管理的设施设备，并能提供所需足够的物防设施，保障开展工作所需材料和设备的管理和安全。投标人在派驻管理前必须将设备配置情况登记造册。投标人已配置设备如有调整，必须提前10天以书面形式通知采购人，并不能降低合同配置要求。</w:t>
      </w:r>
    </w:p>
    <w:p w14:paraId="79848AF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（二）地块巡查管理工作目标</w:t>
      </w:r>
    </w:p>
    <w:p w14:paraId="6CD32A7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投标人保证在服务期内防止一切侵害储备土地权利行为的发生，协助采购人完成地块相关工作，保证提供巡查管理服务的地块达到以下各项目标：</w:t>
      </w:r>
    </w:p>
    <w:p w14:paraId="7C11459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1.未被擅自使用或被第三方非法侵占、留住。</w:t>
      </w:r>
    </w:p>
    <w:p w14:paraId="3DA77F68"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2.未被任何车辆非法进入。</w:t>
      </w:r>
    </w:p>
    <w:p w14:paraId="5DCF929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3.未被乱倒垃圾、余泥。</w:t>
      </w:r>
    </w:p>
    <w:p w14:paraId="7F38AF6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4.未被乱搭乱建。</w:t>
      </w:r>
    </w:p>
    <w:p w14:paraId="3CAF0EB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5.保持地面标高和</w:t>
      </w:r>
      <w:proofErr w:type="gramStart"/>
      <w:r w:rsidRPr="004D4083">
        <w:rPr>
          <w:rFonts w:ascii="宋体" w:eastAsia="宋体" w:hAnsi="宋体" w:hint="eastAsia"/>
          <w:sz w:val="24"/>
        </w:rPr>
        <w:t>地上物</w:t>
      </w:r>
      <w:proofErr w:type="gramEnd"/>
      <w:r w:rsidRPr="004D4083">
        <w:rPr>
          <w:rFonts w:ascii="宋体" w:eastAsia="宋体" w:hAnsi="宋体" w:hint="eastAsia"/>
          <w:sz w:val="24"/>
        </w:rPr>
        <w:t>的原状。</w:t>
      </w:r>
    </w:p>
    <w:p w14:paraId="22D450C8"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6.地块内的林木、果树、绿地等附着物未遭毁坏。</w:t>
      </w:r>
    </w:p>
    <w:p w14:paraId="462BDB6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7.环境卫生状况符合广州市城市公共卫生标准和辖区政府的卫生保洁要求、地块内的界桩、标示牌等设施及市政设施未遭破坏。</w:t>
      </w:r>
    </w:p>
    <w:p w14:paraId="1B8BE01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8.未发生刑事、治安、消防及安全事故。</w:t>
      </w:r>
    </w:p>
    <w:p w14:paraId="6020D9F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9.不因管理不善或脏乱差导致被新闻媒体曝光或受到行政处罚。</w:t>
      </w:r>
    </w:p>
    <w:p w14:paraId="67571CD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（三）投标人的权利和义务</w:t>
      </w:r>
    </w:p>
    <w:p w14:paraId="13F96554"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1.投标人根据约定的工作内容和要求开展地块巡查管理工作，并收取地块巡查管理费。</w:t>
      </w:r>
    </w:p>
    <w:p w14:paraId="61B1147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2.投标人必须全面、实时掌握地块动态，主动、及时发现地块内的异常情况，积极处理问题并做好相关记录，向采购人报告处理结果。</w:t>
      </w:r>
    </w:p>
    <w:p w14:paraId="616B07F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3.投标人应落实合同约定地块巡查管理的人员管理及设备要求，满足巡查岗</w:t>
      </w:r>
      <w:r w:rsidRPr="004D4083">
        <w:rPr>
          <w:rFonts w:ascii="宋体" w:eastAsia="宋体" w:hAnsi="宋体" w:hint="eastAsia"/>
          <w:sz w:val="24"/>
        </w:rPr>
        <w:lastRenderedPageBreak/>
        <w:t>位人员配置数（1个岗位配置巡查人员3名）、同一时间</w:t>
      </w:r>
      <w:proofErr w:type="gramStart"/>
      <w:r w:rsidRPr="004D4083">
        <w:rPr>
          <w:rFonts w:ascii="宋体" w:eastAsia="宋体" w:hAnsi="宋体" w:hint="eastAsia"/>
          <w:sz w:val="24"/>
        </w:rPr>
        <w:t>务必可</w:t>
      </w:r>
      <w:proofErr w:type="gramEnd"/>
      <w:r w:rsidRPr="004D4083">
        <w:rPr>
          <w:rFonts w:ascii="宋体" w:eastAsia="宋体" w:hAnsi="宋体" w:hint="eastAsia"/>
          <w:sz w:val="24"/>
        </w:rPr>
        <w:t>提供给本项目的最少岗位数及具备应急处置安保现场突发事件的设施的服务要求。</w:t>
      </w:r>
    </w:p>
    <w:p w14:paraId="621DC72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投标人应确保开展地块巡查管理服务派出的巡查人员符合合同地块巡查管理约定的资格条件；投标人应对地块巡查管理服务人员进行监督、管理及培训。投标人应将进行地块巡查管理的派驻服务人员分班或分组，确保其24小时轮流值班、坚守岗位，发现问题及时处置并上报；投标人项目负责人在接到采购人通知后30分钟内抵达管理地块现场；投标人应积极支持配合采购人调整投标人服务人员（含巡查人员）进行地块巡查管理工作。</w:t>
      </w:r>
    </w:p>
    <w:p w14:paraId="2B6D178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5.投标人应积极响应并接受采购人的日常监督检查，接受采购人的监管，并严格落实地块通报机制，及时向采购人书面上报日常管理情况及地块异常情况，对异常情况及时整改。</w:t>
      </w:r>
    </w:p>
    <w:p w14:paraId="132B738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6.储备地块及其周边村庄、厂房，发现紧急事件和安全事件，投标人须及时向采购人上报情况，同时投标人项目负责人、工作人员、主要设备和物资须在30分钟内抵达现场负责处理事件，采取有效的安全保护措施和警告，必要时负责请求城市管理、公安机关、属地政府等部门及村社协助处理，直至事件获得妥善解决，并向采购人上报事件处理结果。投标人在处理紧急事件和安全事件过程遇到的问题，由投标人自行解决并承担法律责任。</w:t>
      </w:r>
    </w:p>
    <w:p w14:paraId="04FBB65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7.投标人应加强地块安全管理，设置安全警示，发现管理巡查地块上存在违法用地、违法建设、地块被侵占、违规排放污染物、乱倒余泥渣土、垃圾等行为，应当及时阻止并主动协调相关部门，在采购人规定时间内清除新增或已存在的违法建筑和垃圾。</w:t>
      </w:r>
    </w:p>
    <w:p w14:paraId="478F1F9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8.投标人负责所管理地块内施工单位的监督管理工作，未有采购人书面通知一律不准占地施工。施工结束必须督促施工单位将占用的储备用地恢复原貌。如采购人验收不合格，由投标人负责将地块恢复原貌，费用由投标人承担。如由采购人承担恢复工作的，采购人可从应支付给投标人的地块巡查管理费或履约保证金内扣除，在向投标人支付地块巡查管理费时或退回履约保证金时扣减。</w:t>
      </w:r>
    </w:p>
    <w:p w14:paraId="58BAD01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9.投标人须按照有关安全规范，对土地及地块范围内的建（构）筑物、附着物、各专业管线进行各项安全检查。存在安全隐患的，投标人须及时整改并报告采购人，费用由投标人自行解决。整改不及时导致的风险及损失由投标人承担。</w:t>
      </w:r>
    </w:p>
    <w:p w14:paraId="11CE216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lastRenderedPageBreak/>
        <w:t>10.投标人应为合同项目负责人及地块巡查管理现场巡查人员配备具有拍摄高清视频、电子地图GPS定位、4G互联网传输功能的设备，发现异常情况及时记录事发现场地理位置和实况视频等，做好取证工作；投标人须与地块所属地的城市管理部门、派出所等单位密切联系，建立突发事件快速联动机制。</w:t>
      </w:r>
    </w:p>
    <w:p w14:paraId="2BE5445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11.投标人应按规定为地块巡查管理服务人员统一购买人身意外保险和政府规定的劳动保险。服务人员在执勤中，发生因公受伤、致残或牺牲等事故，其医药费、抚恤金等费用由保险公司按规定理赔，超出保险理赔部分的费用均由投标人承担，与采购人无关。</w:t>
      </w:r>
    </w:p>
    <w:p w14:paraId="157B8D1B"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12.如投标人派出地块巡查管理的服务人员管理能力低、服务质量差、损害采购人利益，采购人有权要求投标人更换不符合使用要求的服务人员，投标人应无条件接受要求，并在3个工作日内予以更换，对此造成采购人损失的，投标人应予赔偿。</w:t>
      </w:r>
    </w:p>
    <w:p w14:paraId="3FE113E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13.合同项下地块出现刑事、治安、消防等问题时，投标人有责任配合有关部门查处，如属于投标人或投标人派出的服务人员过错，采购人有权单方面解除合同并收回地块，尚未支付的合同服务费不再支付。因此造成采购人损失的，投标人还应承担赔偿责任。若派出的服务人员在履行职务过程中有其他违法行为或触犯刑法，由投标人负责送交相关部门处理。</w:t>
      </w:r>
    </w:p>
    <w:p w14:paraId="38C68A7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14.投标人在管理过程中，一旦发生采购人财产遗失、损坏、被盗等现象，属投标人或投标人派出人员过错造成的，投标人应赔偿损失，构成违法或犯罪的，由相关部门追究其行政或刑事责任，同时采购人有权单方解除合同，尚未支付的合同服务费不再支付。</w:t>
      </w:r>
    </w:p>
    <w:p w14:paraId="33BB04D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15.合同期满或提前终止时，投标人应无条件将地块巡查管理的人员、材料、设备等撤出管理服务地块，在确保现场安全的情况下，按采购人认可的现状将地块移交给采购人。</w:t>
      </w:r>
    </w:p>
    <w:p w14:paraId="28B5B7D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16.投标人因管理合同项下地块与第三方发生的纠纷，由投标人自行解决并承担法律责任。</w:t>
      </w:r>
    </w:p>
    <w:p w14:paraId="5E5AD074"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（四）地块巡查管理费计算方式</w:t>
      </w:r>
    </w:p>
    <w:p w14:paraId="5CFBDD10"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1.采购人按实际发生的地块巡查管理费支付合同款。</w:t>
      </w:r>
    </w:p>
    <w:p w14:paraId="455C905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2.在服务期内，投标人保证在开展地块巡查管理服务时</w:t>
      </w:r>
      <w:proofErr w:type="gramStart"/>
      <w:r w:rsidRPr="004D4083">
        <w:rPr>
          <w:rFonts w:ascii="宋体" w:eastAsia="宋体" w:hAnsi="宋体" w:hint="eastAsia"/>
          <w:sz w:val="24"/>
        </w:rPr>
        <w:t>务必能</w:t>
      </w:r>
      <w:proofErr w:type="gramEnd"/>
      <w:r w:rsidRPr="004D4083">
        <w:rPr>
          <w:rFonts w:ascii="宋体" w:eastAsia="宋体" w:hAnsi="宋体" w:hint="eastAsia"/>
          <w:sz w:val="24"/>
        </w:rPr>
        <w:t>同一时间内提</w:t>
      </w:r>
      <w:r w:rsidRPr="004D4083">
        <w:rPr>
          <w:rFonts w:ascii="宋体" w:eastAsia="宋体" w:hAnsi="宋体" w:hint="eastAsia"/>
          <w:sz w:val="24"/>
        </w:rPr>
        <w:lastRenderedPageBreak/>
        <w:t>供给本项目的巡查岗位数不少于 80岗（1个岗位需巡查人员3人）；投标人须具备应急处置安保现场突发事件的设施。</w:t>
      </w:r>
    </w:p>
    <w:p w14:paraId="0B1B530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3.地块巡查管理费</w:t>
      </w:r>
    </w:p>
    <w:p w14:paraId="324CBDB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地块巡查管理费根据实际完成的地块巡查管理工作量，按以下方式进行计算：</w:t>
      </w:r>
    </w:p>
    <w:p w14:paraId="4517A3B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地块巡查管理费（元）＝地块巡查管理工作量（岗*月）×巡查岗位综合包干单价最高限价（元/岗/月）×折扣率，其中，地块巡查管理工作量（岗*月）=巡查岗位数（岗）×管理时间（月）。</w:t>
      </w:r>
    </w:p>
    <w:p w14:paraId="36F1B70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4.巡查岗位综合包干单价</w:t>
      </w:r>
    </w:p>
    <w:p w14:paraId="720806F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合同地块巡查管理的巡查岗位综合单价为包干价，按月计算，包括但不限于投标人进行巡查管理地块所需的各类管理人员工资、福利、社保、保险、管理人员用房、保安亭、车辆、水电、伙食、制服、器械、工具、警示标识、材料、税费、利润、管理人员病重或因公致伤、残、死亡时发生的服务费用及根据有关部门规定收取的、需预防“非典”、“新冠”“登革热”、“禽流感”等流行性病毒而发生的服务费用等全部费用。</w:t>
      </w:r>
    </w:p>
    <w:p w14:paraId="3900607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5.巡查岗位数</w:t>
      </w:r>
    </w:p>
    <w:p w14:paraId="5E817F2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合同地块巡查管理服务期内，1个岗位需3名巡查人员（1人1班看管8个小时，全天24小时连续3班倒），计作1个巡查岗位。其他相关工作所需人员不计入巡查岗位数，投标人按实际地块巡查管理服务需要自行安排至每个岗位中。</w:t>
      </w:r>
    </w:p>
    <w:p w14:paraId="28F912A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（2）以采购人认定的储备项目为单位计算巡查岗位数。巡查岗位数由基础岗位数和附加岗位数构成。</w:t>
      </w:r>
    </w:p>
    <w:p w14:paraId="764C7B2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1)基础岗位数</w:t>
      </w:r>
    </w:p>
    <w:p w14:paraId="6F1EABF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一个储备项目内，委托巡查管理的地块总面积作为计算基数，按以下方式确定基础岗位数：</w:t>
      </w:r>
    </w:p>
    <w:p w14:paraId="06B8002B"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基础岗位数（岗，向上取整至</w:t>
      </w:r>
      <w:proofErr w:type="gramStart"/>
      <w:r w:rsidRPr="004D4083">
        <w:rPr>
          <w:rFonts w:ascii="宋体" w:eastAsia="宋体" w:hAnsi="宋体" w:hint="eastAsia"/>
          <w:sz w:val="24"/>
        </w:rPr>
        <w:t>个</w:t>
      </w:r>
      <w:proofErr w:type="gramEnd"/>
      <w:r w:rsidRPr="004D4083">
        <w:rPr>
          <w:rFonts w:ascii="宋体" w:eastAsia="宋体" w:hAnsi="宋体" w:hint="eastAsia"/>
          <w:sz w:val="24"/>
        </w:rPr>
        <w:t>位数）＝委托巡查管理面积（平方米）/70000，其中，计算结果小于3（岗）的，巡查岗位数按3（岗）设置。</w:t>
      </w:r>
    </w:p>
    <w:p w14:paraId="5BEB3894"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2)附加岗位数</w:t>
      </w:r>
    </w:p>
    <w:p w14:paraId="69E66020"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特殊情况下，投标人增加或减少巡查岗位</w:t>
      </w:r>
      <w:proofErr w:type="gramStart"/>
      <w:r w:rsidRPr="004D4083">
        <w:rPr>
          <w:rFonts w:ascii="宋体" w:eastAsia="宋体" w:hAnsi="宋体" w:hint="eastAsia"/>
          <w:sz w:val="24"/>
        </w:rPr>
        <w:t>设置数需获得</w:t>
      </w:r>
      <w:proofErr w:type="gramEnd"/>
      <w:r w:rsidRPr="004D4083">
        <w:rPr>
          <w:rFonts w:ascii="宋体" w:eastAsia="宋体" w:hAnsi="宋体" w:hint="eastAsia"/>
          <w:sz w:val="24"/>
        </w:rPr>
        <w:t>采购人书面确认，计为附加岗位数；为配合地块巡查管理需要，采购人有权要求投标人根据实际情况</w:t>
      </w:r>
      <w:r w:rsidRPr="004D4083">
        <w:rPr>
          <w:rFonts w:ascii="宋体" w:eastAsia="宋体" w:hAnsi="宋体" w:hint="eastAsia"/>
          <w:sz w:val="24"/>
        </w:rPr>
        <w:lastRenderedPageBreak/>
        <w:t>增加或减少巡查岗位数，经采购人批准后实施，计为附加岗位数。</w:t>
      </w:r>
    </w:p>
    <w:p w14:paraId="4602AE1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无论采购人是否批准附加岗位数，投标人都应履行合同约定的地块巡察管理职责和义务。</w:t>
      </w:r>
    </w:p>
    <w:p w14:paraId="6FDCF1C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6.地块巡查管理服务时间</w:t>
      </w:r>
    </w:p>
    <w:p w14:paraId="0A35630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（1）合同服务期限内具体地块的地块巡查管理服务时间如下：</w:t>
      </w:r>
    </w:p>
    <w:p w14:paraId="3D259CE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开始时间：采购人至少提前2日通知投标人需进场的地块及进场时间，投标人必须无条件根据采购人的进场时间要求接手地块巡查管理工作，进场后双方签署进场确认书。</w:t>
      </w:r>
    </w:p>
    <w:p w14:paraId="6700FFB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结束时间：采购人至少提前10日通知投标人需退场收回的地块及退场时间，投标人必须无条件根据采购人的退场时间要求交出地块，退场后双方签署退场确认书。</w:t>
      </w:r>
    </w:p>
    <w:p w14:paraId="2C5EF95B"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从进场确认书记载的开始管理时间开始，至退场确认书（或变更确认书）记载的结束管理时间止，投标人向采购人提供地块巡查管理服务，对地块进行连续不间断巡查管理。地块巡查管理服务时间按公历自然</w:t>
      </w:r>
      <w:proofErr w:type="gramStart"/>
      <w:r w:rsidRPr="004D4083">
        <w:rPr>
          <w:rFonts w:ascii="宋体" w:eastAsia="宋体" w:hAnsi="宋体" w:hint="eastAsia"/>
          <w:sz w:val="24"/>
        </w:rPr>
        <w:t>月进行</w:t>
      </w:r>
      <w:proofErr w:type="gramEnd"/>
      <w:r w:rsidRPr="004D4083">
        <w:rPr>
          <w:rFonts w:ascii="宋体" w:eastAsia="宋体" w:hAnsi="宋体" w:hint="eastAsia"/>
          <w:sz w:val="24"/>
        </w:rPr>
        <w:t>计算；不足一个月的，按当月日数折算成日服务费，按实际工作日数计算地块巡查管理服务费；进场当日、退场当日均按1日计算服务费。</w:t>
      </w:r>
    </w:p>
    <w:p w14:paraId="5290E4C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7.地块巡查管理服务事项变更确认</w:t>
      </w:r>
    </w:p>
    <w:p w14:paraId="1BA5CCD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（1）当地块出现分阶段供应的，委托开展地块巡查管理面积、巡查岗位数和地块巡查管理费应从土地交付给用地单位之日起作相应调整。</w:t>
      </w:r>
    </w:p>
    <w:p w14:paraId="42B0E598"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在具体地块巡查管理服务期间，甲、乙双方通过签署地块巡查管理服务事项变更确认书的形式，确认地块巡查管理服务事项的变更，包括地块的委托开展地块巡查管理范围、巡查岗位数、地块巡查管理费等。</w:t>
      </w:r>
    </w:p>
    <w:p w14:paraId="1764D19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（五）已交付土地范围内权责划分</w:t>
      </w:r>
    </w:p>
    <w:p w14:paraId="11CA1BE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采购人委托投标人开展巡查管理服务的地块，出现分阶段供应的，应根据实际土地供应情况和土地交付情况划分管理权责。</w:t>
      </w:r>
    </w:p>
    <w:p w14:paraId="119D124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1.未交付的土地范围由投标人继续履行合同义务。</w:t>
      </w:r>
    </w:p>
    <w:p w14:paraId="51D42CA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已交付给用地单位的土地，应根据《国有建设用地使用权出让合同》或政府批准的供地文件确定土地范围，该范围的土地从交付给用地单位之日起，相应管理权责由用地单位承担。投标人应在收到采购人书面通知后与用地单位做好管</w:t>
      </w:r>
      <w:r w:rsidRPr="004D4083">
        <w:rPr>
          <w:rFonts w:ascii="宋体" w:eastAsia="宋体" w:hAnsi="宋体" w:hint="eastAsia"/>
          <w:sz w:val="24"/>
        </w:rPr>
        <w:lastRenderedPageBreak/>
        <w:t>理权责交接和办理相关手续。因已交付土地管理权责不清，影响未交付土地正常管理秩序，违反合同条款的，由投标人负责整改，并承担相应责任，造成的损失由投标人承担，与采购人无关。</w:t>
      </w:r>
    </w:p>
    <w:p w14:paraId="53C2C9BB" w14:textId="77777777" w:rsidR="004D4083" w:rsidRPr="004D4083" w:rsidRDefault="004D4083" w:rsidP="004D4083">
      <w:pPr>
        <w:spacing w:beforeLines="25" w:before="78" w:afterLines="25" w:after="78" w:line="360" w:lineRule="auto"/>
        <w:rPr>
          <w:rFonts w:ascii="宋体" w:eastAsia="宋体" w:hAnsi="宋体"/>
          <w:b/>
          <w:bCs/>
          <w:sz w:val="24"/>
        </w:rPr>
      </w:pPr>
      <w:r w:rsidRPr="004D4083">
        <w:rPr>
          <w:rFonts w:ascii="宋体" w:eastAsia="宋体" w:hAnsi="宋体" w:hint="eastAsia"/>
          <w:b/>
          <w:bCs/>
          <w:sz w:val="24"/>
        </w:rPr>
        <w:t>二、地块配套服务</w:t>
      </w:r>
    </w:p>
    <w:p w14:paraId="72C1DF7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（一）投标人的工作内容及要求</w:t>
      </w:r>
    </w:p>
    <w:p w14:paraId="12A63AC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1.地块配套服务总体要求</w:t>
      </w:r>
    </w:p>
    <w:p w14:paraId="0E29FC2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采购人与投标人签订合同后，服务范围在广州空港经济区重点开发区域内，采购人以工作任务单的形式委托具体地块配套服务工作事项，通过采购人验收后，投标人按实际完成的地块配套服务工作任务单收取费用。投标人应根据实际工作需要，负责提供开展工作所需的一切人员、材料、设备、设施、器材、车辆等，负责确保具备开展相关工作的资质、许可、证照，负责办理相关手续并建立项目档案。采购人有权随时查阅、调用档案。</w:t>
      </w:r>
    </w:p>
    <w:p w14:paraId="7BBC04F0"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（2）程序要求</w:t>
      </w:r>
    </w:p>
    <w:p w14:paraId="77166D0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一般程序：投标人需在接到采购人通知后，到工作范围现场进行全面摸查和测量，3个工作日内针对拟委托地块配套服务事项提供工作方案。采购人审核通过后，向投标人出具地块配套服务工作任务单。投标人收到地块配套服务工作任务单后须服从委托，所需的人员、设备、材料等需在24小时内全部到达作业现场全面开展工作，于5日内（或根据工作任务单时限要求）完成任务</w:t>
      </w:r>
    </w:p>
    <w:p w14:paraId="3261EA3B"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应急程序：遇河道阻塞、水浸、坍塌、树木倾倒、围蔽失效、抢险、采购人委派的特殊任务等紧急事件，投标人项目负责人、工作人员、主要设备和物资须在30分钟内抵达现场负责处理事件，必要时负责请求城市管理、公安机关、属地政府等部门及村社协助处理，直至事件获得妥善解决，并向采购人上报事件处理结果。处理事件前，投标人需拍摄现场存在问题的典型照片或视频，获得采购人确认后，马上开展应急工作，妥善处理后向采购人报告结果。紧急事件发生2日内，投标人补充编制工作方案并提交采购人，由采购人审核确认后，补发工作任务单（后置）。</w:t>
      </w:r>
    </w:p>
    <w:p w14:paraId="7163ABE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投标人开展地块配套服务工作的方式应有利于地块巡查管理，遵守地块巡查管理相关规定，注意保护相关管线、文物、国防及公共设施，密切配合地块巡查管理实施单位的工作，妥善处理工作过程中与第三方的矛盾。</w:t>
      </w:r>
    </w:p>
    <w:p w14:paraId="17C7A2C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lastRenderedPageBreak/>
        <w:t>（4）未经采购人同意，投标人不得占用土地，不得破坏或新增任何设施、建（构）筑物，不得改变地貌和土地用途，不得超出工作任务单委托范围。投标人完成现场工作后，负责恢复地块管理设施，负责排查现场安全隐患，确保现场安全的情况下，才能撤离。</w:t>
      </w:r>
    </w:p>
    <w:p w14:paraId="60BC738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（5）投标人负责派出服务人员的作业安全和人身安全，负责开展地块配套服务工作所需材料和设备的管理和安全，确保安全措施到位，承担相关损害和损失的赔偿责任。</w:t>
      </w:r>
    </w:p>
    <w:p w14:paraId="38A9B81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2.地块配套服务工作文件编制要求</w:t>
      </w:r>
    </w:p>
    <w:p w14:paraId="620862A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（1）工作方案文件</w:t>
      </w:r>
    </w:p>
    <w:p w14:paraId="76BEB7FA"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主要内容包括存在问题、主要措施、时间计划、工作方式、完成标准、投入人员、设备、材料等情况，工作量及报价总表，服务措施总平面图，附件为工作量计量凭据文件。其中：</w:t>
      </w:r>
    </w:p>
    <w:p w14:paraId="0DA4DAF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1）存在问题：详细描述存在问题情况，配以能显示损坏、隐患、障碍物等问题情况的典型照片。</w:t>
      </w:r>
    </w:p>
    <w:p w14:paraId="087049C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2）工作量及报价总表：逐项编号，用计量的数值计算出各事项工作量和报价，独占一页并盖章。</w:t>
      </w:r>
    </w:p>
    <w:p w14:paraId="56CA7B2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3）服务措施总平面图：逐项编号，标明具体工作范围、措施、数量，A3幅面独占一页并盖章。</w:t>
      </w:r>
    </w:p>
    <w:p w14:paraId="30E29128"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4）计量凭据：所有工作量必须有计量凭据进行佐证。</w:t>
      </w:r>
      <w:proofErr w:type="gramStart"/>
      <w:r w:rsidRPr="004D4083">
        <w:rPr>
          <w:rFonts w:ascii="宋体" w:eastAsia="宋体" w:hAnsi="宋体" w:hint="eastAsia"/>
          <w:sz w:val="24"/>
        </w:rPr>
        <w:t>开展工作前持测量</w:t>
      </w:r>
      <w:proofErr w:type="gramEnd"/>
      <w:r w:rsidRPr="004D4083">
        <w:rPr>
          <w:rFonts w:ascii="宋体" w:eastAsia="宋体" w:hAnsi="宋体" w:hint="eastAsia"/>
          <w:sz w:val="24"/>
        </w:rPr>
        <w:t>工具到现场实测，用拍摄照片、视频等方式，获取可以佐证工作量的一切材料，材料必须清晰、完整、可靠，逐项编号。所有照片、视频等材料中必须能看到容易辨认、完工后仍存在的地点参照物，完工后必须拍摄同一位置、同一角度的照片或视频，以便比对。</w:t>
      </w:r>
    </w:p>
    <w:p w14:paraId="7EE78225"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5）工作量及报价总表、服务措施总平面图、计量凭据中编号必须一一对应。</w:t>
      </w:r>
    </w:p>
    <w:p w14:paraId="1278C4B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（2）过程记录文件</w:t>
      </w:r>
    </w:p>
    <w:p w14:paraId="3E209E3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工作过程需拍摄尽可能多的过程照片、视频等记录材料，作为验收文件的附件。</w:t>
      </w:r>
    </w:p>
    <w:p w14:paraId="0463759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（3）验收文件</w:t>
      </w:r>
    </w:p>
    <w:p w14:paraId="76A3A74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投标人完成工作后，以工作任务单为单位编制验收材料，格式和要求参照工</w:t>
      </w:r>
      <w:r w:rsidRPr="004D4083">
        <w:rPr>
          <w:rFonts w:ascii="宋体" w:eastAsia="宋体" w:hAnsi="宋体" w:hint="eastAsia"/>
          <w:sz w:val="24"/>
        </w:rPr>
        <w:lastRenderedPageBreak/>
        <w:t>作方案。内容包括工作完成情况说明、完成工作量及服务费总表、工作完成情况总平面图，附件为工作完成情况凭据文件。工作完成情况凭据文件必须与工作方案中计量凭据照片一一对应、数量相当，为同一位置、同一角度的照片或视频。投标人来函向采购人申请验收。经采购人同意调整的工作量，投标人编制示意图和计量凭据，调整报价，与验收材料合并编报。</w:t>
      </w:r>
    </w:p>
    <w:p w14:paraId="7F55452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3.地块配套服务的人员管理和设备要求</w:t>
      </w:r>
    </w:p>
    <w:p w14:paraId="054BCF41"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（1）投标人应为本项目开展地块配套服务工作配置技术培训及指导人员，服务人员需具有相关服务资格及技能。</w:t>
      </w:r>
    </w:p>
    <w:p w14:paraId="485AA67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投标人应对派出的服务人员进行严格审查，保证录用人员没有刑事犯罪记录，健康状况良好。投标人必须严格按照国家、广东省、广州市有关的劳动法规和保险条例，为服务人员提供完善的劳动权益保障。如发生劳资纠纷，由投标人解决，采购人不承担任何责任。若发生劳动争议及出现伤、病、致残及意外死亡情况时，其医药费、抚恤金等费用由保险公司按规定理赔，超出保险理赔的部分费用均由投标人承担，由投标人自己解决并承担相应的法律责任，采购人无连带关系和责任。服务人员须统一着装、佩戴工作证，工作认真负责，业务熟悉。</w:t>
      </w:r>
    </w:p>
    <w:p w14:paraId="58B1D3E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（3）投标人派出的工作人员在履行本合同过程中引起第三方人身或财产损害，由此引起的赔偿责任由投标人自行解决，与采购人无关。</w:t>
      </w:r>
      <w:proofErr w:type="gramStart"/>
      <w:r w:rsidRPr="004D4083">
        <w:rPr>
          <w:rFonts w:ascii="宋体" w:eastAsia="宋体" w:hAnsi="宋体" w:hint="eastAsia"/>
          <w:sz w:val="24"/>
        </w:rPr>
        <w:t>若导致</w:t>
      </w:r>
      <w:proofErr w:type="gramEnd"/>
      <w:r w:rsidRPr="004D4083">
        <w:rPr>
          <w:rFonts w:ascii="宋体" w:eastAsia="宋体" w:hAnsi="宋体" w:hint="eastAsia"/>
          <w:sz w:val="24"/>
        </w:rPr>
        <w:t>采购人向第三方承担责任的，采购人在承担责任后，投标人应全额赔偿采购人因此遭受的实际损失。</w:t>
      </w:r>
    </w:p>
    <w:p w14:paraId="391A9A6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（4）投标人应配备能满足开展地块配套服务各工作事项的设施设备，应投入不少于 4台设备或车辆（钩机、推土机、洒水车、清洗车），保障开展工作所需材料和设备的管理和安全。</w:t>
      </w:r>
    </w:p>
    <w:p w14:paraId="4CA36E8A"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（二）地块配套服务工作目标</w:t>
      </w:r>
    </w:p>
    <w:p w14:paraId="34D4724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投标人保证提供的服务达到以下各项目标：</w:t>
      </w:r>
    </w:p>
    <w:p w14:paraId="55311F4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1.满足地块配套服务工作需要，且有利于地块巡查管理工作。</w:t>
      </w:r>
    </w:p>
    <w:p w14:paraId="588AC36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2.作业流程、工作方式、成果标准符合相关政府部门、行业的规定。</w:t>
      </w:r>
    </w:p>
    <w:p w14:paraId="5E7859D5"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3.未引起环境问题，未引起安全、消防事故。</w:t>
      </w:r>
    </w:p>
    <w:p w14:paraId="4A1B186B"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（三）投标人的权利和义务</w:t>
      </w:r>
    </w:p>
    <w:p w14:paraId="0C84AB1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1.投标人根据合同约定和工作任务单委托的工作内容和要求开展地块配套</w:t>
      </w:r>
      <w:r w:rsidRPr="004D4083">
        <w:rPr>
          <w:rFonts w:ascii="宋体" w:eastAsia="宋体" w:hAnsi="宋体" w:hint="eastAsia"/>
          <w:sz w:val="24"/>
        </w:rPr>
        <w:lastRenderedPageBreak/>
        <w:t>服务工作，并收取地块配套服务费。</w:t>
      </w:r>
    </w:p>
    <w:p w14:paraId="58A58D7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2.投标人应落实合同约定地块配套服务的人员管理及设备要求，满足可提供给本项目的设备或车辆的数量要求，确保开展地块配套服务派出的服务人员符合合同地块配套服务约定的资格条件。</w:t>
      </w:r>
    </w:p>
    <w:p w14:paraId="6230F9D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投标人收到采购人出具的地块配套服务工作任务单后，该任务所需的人员、设备、材料等需在24小时内（紧急事件和安全事件除外）全部到达作业现场并全面开展工作，于5天内或根据工作任务单时限要求完成任务。</w:t>
      </w:r>
    </w:p>
    <w:p w14:paraId="0BED0D90"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4.投标人应积极响应并接受采购人的日常监督检查，接受采购人的监管，对地块配套服务存在的问题进行及时整改。</w:t>
      </w:r>
    </w:p>
    <w:p w14:paraId="202E151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5.投标人应严格按照有关规定，高效、高质、规范、安全、文明地完成各项地块配套服务工作，负责必要的围蔽、警戒、支撑等安全防护措施和噪音、扬尘、污水、废弃物污染等防控措施。</w:t>
      </w:r>
    </w:p>
    <w:p w14:paraId="22EC1402"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6.储备地块及其周边村庄、厂房，发现紧急事件和安全事件，投标人须及时向采购人上报情况，配合地块巡查管理单位采取有效的安全保护措施和警告。遇河道阻塞、水浸、坍塌、树木倾倒、围蔽失效、抢险、采购人委派的特殊任务等紧急事件和安全事件，投标人项目负责人、工作人员、主要设备和物资须在30分钟内抵达现场负责处理事件，采取有效的应急抢险措施，必要时负责请求城市管理、公安机关、属地政府等部门及村社协助处理，直至事件获得妥善解决，并向采购人上报事件处理结果。投标人在处理紧急事件和安全事件过程遇到的问题，由投标人自行解决并承担法律责任。</w:t>
      </w:r>
    </w:p>
    <w:p w14:paraId="55C865D8"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7.投标人在开展工作过程中注意保护现有排水、管线及公共设施，切实加强安全生产和消防管理，确保不发生事故、火灾，不发生人员、财产损失。</w:t>
      </w:r>
    </w:p>
    <w:p w14:paraId="03F7F680"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8.投标人需加强对地块配套服务人员监督、管理及培训。</w:t>
      </w:r>
    </w:p>
    <w:p w14:paraId="5AB8369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9.投标人应按规定为地块配套服务人员统一购买人身意外保险和政府规定的劳动保险。工作人员发生因公受伤、致残或牺牲等事故，其医药费、抚恤金等费用由保险公司按规定理赔，超出保险理赔部分的费用均由投标人承担，与采购人无关。</w:t>
      </w:r>
    </w:p>
    <w:p w14:paraId="6813DBA8"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10.投标人应为合同项目负责人及地块配套服务主要工作人员配备具有拍摄高清视频、电子地图GPS定位、4G互联网传输功能的设备，发现异常情况及时</w:t>
      </w:r>
      <w:r w:rsidRPr="004D4083">
        <w:rPr>
          <w:rFonts w:ascii="宋体" w:eastAsia="宋体" w:hAnsi="宋体" w:hint="eastAsia"/>
          <w:sz w:val="24"/>
        </w:rPr>
        <w:lastRenderedPageBreak/>
        <w:t>记录事发现场地理位置和实况视频等，做好取证工作。</w:t>
      </w:r>
    </w:p>
    <w:p w14:paraId="5CDEA5D4"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11.投标人负责与属地村、镇协商进场工作事宜，负责了解和跟进相关纠纷情况。因开展合同项下地块配套服务工作与第三方发生的纠纷，由投标人自行解决并承担法律责任。</w:t>
      </w:r>
    </w:p>
    <w:p w14:paraId="648CA22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12.投标人在地块配套服务工作过程中损坏采购人财产，属投标人或投标人派出人员过错造成的，投标人应赔偿损失，构成违法或犯罪的，由相关部门追究其行政或刑事责任，同时采购人有权单方解除合同，尚未支付的合同服务费不再支付。</w:t>
      </w:r>
    </w:p>
    <w:p w14:paraId="0234F6A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13.如投标人派出地块配套服务的服务人员管理能力低、服务质量差、损害采购人利益，采购人有权要求投标人更换不符合使用要求的服务人员，投标人应无条件接受要求，并在3个工作日内予以更换，对此造成采购人损失的，投标人应予赔偿。</w:t>
      </w:r>
    </w:p>
    <w:p w14:paraId="44E81C25"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14.合同期满或提前终止时，投标人应无条件将地块配套服务工作的人员、材料、设备等撤出储备地块。</w:t>
      </w:r>
    </w:p>
    <w:p w14:paraId="178C945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（四）地块配套服务费计算方式</w:t>
      </w:r>
    </w:p>
    <w:p w14:paraId="07243A88"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1.采购人按实际完成的地块配套服务工作任务单向投标人支付合同款。</w:t>
      </w:r>
    </w:p>
    <w:p w14:paraId="13E6343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2.地块配套服务工作任务单费用</w:t>
      </w:r>
    </w:p>
    <w:p w14:paraId="016E26C2"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地块配套服务工作任务单费用＝委托地块配套服务事项的工作量×对应的综合包干单价最高限价×中标折扣率。合同的地块配套服务工作事项及其综合包干单价详见《地块综合管理服务事项综合包干单价表》。</w:t>
      </w:r>
    </w:p>
    <w:p w14:paraId="79D18EDB"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3.地块配套服务工作量</w:t>
      </w:r>
    </w:p>
    <w:p w14:paraId="7762521B"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投标人负责提供地块配套服务工作量的计量凭据、现场照片、文字说明等详细支持材料，形成电子文件，对工作量数据负责，相关材料全部归入合同项目档案。投标人负责对采购人、审计等政府部门提出的异议进行解释并提供支持材料，并承担由此产生的费用变化和法律责任。</w:t>
      </w:r>
    </w:p>
    <w:p w14:paraId="11F4C66E"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4.地块配套服务综合单价</w:t>
      </w:r>
    </w:p>
    <w:p w14:paraId="766D1DB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地块配套服务中各个工作事项的综合单价为包干单价，包含投标人为完成采购人委托工作事项所需的人工、材料、设备、车辆、税费、利润、场地、安全防护、文明施工、环保等一切费用，在中标后不作调整。</w:t>
      </w:r>
    </w:p>
    <w:p w14:paraId="531AA2D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lastRenderedPageBreak/>
        <w:t>（五）地块配套服务工作任务的提前终止</w:t>
      </w:r>
    </w:p>
    <w:p w14:paraId="3FE6018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采购人以工作任务单委托投标人开展具体的地块配套服务工作任务，因故提前终止该项工作任务的，应根据实际已完成工作量计算地块配套服务费，未完成部分工作量</w:t>
      </w:r>
      <w:proofErr w:type="gramStart"/>
      <w:r w:rsidRPr="004D4083">
        <w:rPr>
          <w:rFonts w:ascii="宋体" w:eastAsia="宋体" w:hAnsi="宋体" w:hint="eastAsia"/>
          <w:sz w:val="24"/>
        </w:rPr>
        <w:t>不</w:t>
      </w:r>
      <w:proofErr w:type="gramEnd"/>
      <w:r w:rsidRPr="004D4083">
        <w:rPr>
          <w:rFonts w:ascii="宋体" w:eastAsia="宋体" w:hAnsi="宋体" w:hint="eastAsia"/>
          <w:sz w:val="24"/>
        </w:rPr>
        <w:t>计费。投标人负责工作量计量工作，并应在收到采购人终止工作任务的通知后3日内退出场地。</w:t>
      </w:r>
    </w:p>
    <w:p w14:paraId="75D54F56" w14:textId="77777777" w:rsid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附：地块综合管理服务事项综合包干单价表</w:t>
      </w:r>
    </w:p>
    <w:tbl>
      <w:tblPr>
        <w:tblW w:w="5000" w:type="pct"/>
        <w:tblLook w:val="04A0" w:firstRow="1" w:lastRow="0" w:firstColumn="1" w:lastColumn="0" w:noHBand="0" w:noVBand="1"/>
      </w:tblPr>
      <w:tblGrid>
        <w:gridCol w:w="563"/>
        <w:gridCol w:w="992"/>
        <w:gridCol w:w="2761"/>
        <w:gridCol w:w="1747"/>
        <w:gridCol w:w="858"/>
        <w:gridCol w:w="1375"/>
      </w:tblGrid>
      <w:tr w:rsidR="004D4083" w:rsidRPr="004D4083" w14:paraId="4BB9ECFC" w14:textId="77777777" w:rsidTr="004D4083">
        <w:trPr>
          <w:trHeight w:val="660"/>
        </w:trPr>
        <w:tc>
          <w:tcPr>
            <w:tcW w:w="339" w:type="pct"/>
            <w:tcBorders>
              <w:top w:val="single" w:sz="4" w:space="0" w:color="auto"/>
              <w:left w:val="single" w:sz="4" w:space="0" w:color="auto"/>
              <w:bottom w:val="single" w:sz="4" w:space="0" w:color="auto"/>
              <w:right w:val="single" w:sz="4" w:space="0" w:color="auto"/>
            </w:tcBorders>
            <w:vAlign w:val="center"/>
            <w:hideMark/>
          </w:tcPr>
          <w:p w14:paraId="70DBC2ED" w14:textId="77777777" w:rsidR="004D4083" w:rsidRPr="004D4083" w:rsidRDefault="004D4083" w:rsidP="004D4083">
            <w:pPr>
              <w:widowControl/>
              <w:spacing w:line="360" w:lineRule="auto"/>
              <w:jc w:val="center"/>
              <w:rPr>
                <w:rFonts w:ascii="宋体" w:eastAsia="宋体" w:hAnsi="宋体" w:cs="宋体"/>
                <w:b/>
                <w:bCs/>
                <w:kern w:val="0"/>
                <w:sz w:val="24"/>
              </w:rPr>
            </w:pPr>
            <w:r w:rsidRPr="004D4083">
              <w:rPr>
                <w:rFonts w:ascii="宋体" w:eastAsia="宋体" w:hAnsi="宋体" w:cs="宋体" w:hint="eastAsia"/>
                <w:b/>
                <w:bCs/>
                <w:kern w:val="0"/>
                <w:sz w:val="24"/>
              </w:rPr>
              <w:t>序号</w:t>
            </w:r>
          </w:p>
        </w:tc>
        <w:tc>
          <w:tcPr>
            <w:tcW w:w="598" w:type="pct"/>
            <w:tcBorders>
              <w:top w:val="single" w:sz="4" w:space="0" w:color="auto"/>
              <w:left w:val="nil"/>
              <w:bottom w:val="single" w:sz="4" w:space="0" w:color="auto"/>
              <w:right w:val="single" w:sz="4" w:space="0" w:color="auto"/>
            </w:tcBorders>
            <w:vAlign w:val="center"/>
            <w:hideMark/>
          </w:tcPr>
          <w:p w14:paraId="39D1F22A" w14:textId="77777777" w:rsidR="004D4083" w:rsidRPr="004D4083" w:rsidRDefault="004D4083" w:rsidP="004D4083">
            <w:pPr>
              <w:widowControl/>
              <w:spacing w:line="360" w:lineRule="auto"/>
              <w:jc w:val="center"/>
              <w:rPr>
                <w:rFonts w:ascii="宋体" w:eastAsia="宋体" w:hAnsi="宋体" w:cs="宋体"/>
                <w:b/>
                <w:bCs/>
                <w:kern w:val="0"/>
                <w:sz w:val="24"/>
              </w:rPr>
            </w:pPr>
            <w:r w:rsidRPr="004D4083">
              <w:rPr>
                <w:rFonts w:ascii="宋体" w:eastAsia="宋体" w:hAnsi="宋体" w:cs="宋体" w:hint="eastAsia"/>
                <w:b/>
                <w:bCs/>
                <w:kern w:val="0"/>
                <w:sz w:val="24"/>
              </w:rPr>
              <w:t>事项名称</w:t>
            </w:r>
          </w:p>
        </w:tc>
        <w:tc>
          <w:tcPr>
            <w:tcW w:w="2717" w:type="pct"/>
            <w:gridSpan w:val="2"/>
            <w:tcBorders>
              <w:top w:val="single" w:sz="4" w:space="0" w:color="auto"/>
              <w:left w:val="nil"/>
              <w:bottom w:val="single" w:sz="4" w:space="0" w:color="auto"/>
              <w:right w:val="single" w:sz="4" w:space="0" w:color="auto"/>
            </w:tcBorders>
            <w:vAlign w:val="center"/>
            <w:hideMark/>
          </w:tcPr>
          <w:p w14:paraId="4643F6AC" w14:textId="77777777" w:rsidR="004D4083" w:rsidRPr="004D4083" w:rsidRDefault="004D4083" w:rsidP="004D4083">
            <w:pPr>
              <w:widowControl/>
              <w:spacing w:line="360" w:lineRule="auto"/>
              <w:jc w:val="center"/>
              <w:rPr>
                <w:rFonts w:ascii="宋体" w:eastAsia="宋体" w:hAnsi="宋体" w:cs="宋体"/>
                <w:b/>
                <w:bCs/>
                <w:kern w:val="0"/>
                <w:sz w:val="24"/>
              </w:rPr>
            </w:pPr>
            <w:r w:rsidRPr="004D4083">
              <w:rPr>
                <w:rFonts w:ascii="宋体" w:eastAsia="宋体" w:hAnsi="宋体" w:cs="宋体" w:hint="eastAsia"/>
                <w:b/>
                <w:bCs/>
                <w:kern w:val="0"/>
                <w:sz w:val="24"/>
              </w:rPr>
              <w:t>主要工作内容</w:t>
            </w:r>
          </w:p>
        </w:tc>
        <w:tc>
          <w:tcPr>
            <w:tcW w:w="517" w:type="pct"/>
            <w:tcBorders>
              <w:top w:val="single" w:sz="4" w:space="0" w:color="auto"/>
              <w:left w:val="nil"/>
              <w:bottom w:val="single" w:sz="4" w:space="0" w:color="auto"/>
              <w:right w:val="single" w:sz="4" w:space="0" w:color="auto"/>
            </w:tcBorders>
            <w:vAlign w:val="center"/>
            <w:hideMark/>
          </w:tcPr>
          <w:p w14:paraId="385AEDEA" w14:textId="77777777" w:rsidR="004D4083" w:rsidRPr="004D4083" w:rsidRDefault="004D4083" w:rsidP="004D4083">
            <w:pPr>
              <w:widowControl/>
              <w:spacing w:line="360" w:lineRule="auto"/>
              <w:jc w:val="center"/>
              <w:rPr>
                <w:rFonts w:ascii="宋体" w:eastAsia="宋体" w:hAnsi="宋体" w:cs="宋体"/>
                <w:b/>
                <w:bCs/>
                <w:kern w:val="0"/>
                <w:sz w:val="24"/>
              </w:rPr>
            </w:pPr>
            <w:r w:rsidRPr="004D4083">
              <w:rPr>
                <w:rFonts w:ascii="宋体" w:eastAsia="宋体" w:hAnsi="宋体" w:cs="宋体" w:hint="eastAsia"/>
                <w:b/>
                <w:bCs/>
                <w:kern w:val="0"/>
                <w:sz w:val="24"/>
              </w:rPr>
              <w:t>计量单位</w:t>
            </w:r>
          </w:p>
        </w:tc>
        <w:tc>
          <w:tcPr>
            <w:tcW w:w="829" w:type="pct"/>
            <w:tcBorders>
              <w:top w:val="single" w:sz="4" w:space="0" w:color="auto"/>
              <w:left w:val="nil"/>
              <w:bottom w:val="single" w:sz="4" w:space="0" w:color="auto"/>
              <w:right w:val="single" w:sz="4" w:space="0" w:color="auto"/>
            </w:tcBorders>
            <w:vAlign w:val="center"/>
            <w:hideMark/>
          </w:tcPr>
          <w:p w14:paraId="13660426" w14:textId="027EF58C" w:rsidR="004D4083" w:rsidRPr="004D4083" w:rsidRDefault="004D4083" w:rsidP="004D4083">
            <w:pPr>
              <w:widowControl/>
              <w:spacing w:line="360" w:lineRule="auto"/>
              <w:jc w:val="center"/>
              <w:rPr>
                <w:rFonts w:ascii="宋体" w:eastAsia="宋体" w:hAnsi="宋体" w:cs="宋体"/>
                <w:b/>
                <w:bCs/>
                <w:kern w:val="0"/>
                <w:sz w:val="24"/>
              </w:rPr>
            </w:pPr>
            <w:r w:rsidRPr="004D4083">
              <w:rPr>
                <w:rFonts w:ascii="宋体" w:eastAsia="宋体" w:hAnsi="宋体" w:cs="宋体" w:hint="eastAsia"/>
                <w:b/>
                <w:bCs/>
                <w:kern w:val="0"/>
                <w:sz w:val="24"/>
              </w:rPr>
              <w:t>综合包干单价最高限价</w:t>
            </w:r>
            <w:r w:rsidRPr="004D4083">
              <w:rPr>
                <w:rFonts w:ascii="宋体" w:eastAsia="宋体" w:hAnsi="宋体" w:cs="宋体"/>
                <w:b/>
                <w:bCs/>
                <w:kern w:val="0"/>
                <w:sz w:val="24"/>
              </w:rPr>
              <w:t>(元)</w:t>
            </w:r>
          </w:p>
        </w:tc>
      </w:tr>
      <w:tr w:rsidR="004D4083" w:rsidRPr="004D4083" w14:paraId="463D28E6" w14:textId="77777777" w:rsidTr="004D4083">
        <w:trPr>
          <w:trHeight w:val="660"/>
        </w:trPr>
        <w:tc>
          <w:tcPr>
            <w:tcW w:w="339" w:type="pct"/>
            <w:tcBorders>
              <w:top w:val="nil"/>
              <w:left w:val="single" w:sz="4" w:space="0" w:color="auto"/>
              <w:bottom w:val="single" w:sz="4" w:space="0" w:color="auto"/>
              <w:right w:val="single" w:sz="4" w:space="0" w:color="auto"/>
            </w:tcBorders>
            <w:vAlign w:val="center"/>
            <w:hideMark/>
          </w:tcPr>
          <w:p w14:paraId="36C56ED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w:t>
            </w:r>
          </w:p>
        </w:tc>
        <w:tc>
          <w:tcPr>
            <w:tcW w:w="598" w:type="pct"/>
            <w:tcBorders>
              <w:top w:val="nil"/>
              <w:left w:val="nil"/>
              <w:bottom w:val="single" w:sz="4" w:space="0" w:color="auto"/>
              <w:right w:val="single" w:sz="4" w:space="0" w:color="auto"/>
            </w:tcBorders>
            <w:vAlign w:val="center"/>
            <w:hideMark/>
          </w:tcPr>
          <w:p w14:paraId="4F3917A6"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保安岗位</w:t>
            </w:r>
          </w:p>
        </w:tc>
        <w:tc>
          <w:tcPr>
            <w:tcW w:w="2717" w:type="pct"/>
            <w:gridSpan w:val="2"/>
            <w:tcBorders>
              <w:top w:val="single" w:sz="4" w:space="0" w:color="auto"/>
              <w:left w:val="nil"/>
              <w:bottom w:val="single" w:sz="4" w:space="0" w:color="auto"/>
              <w:right w:val="single" w:sz="4" w:space="0" w:color="auto"/>
            </w:tcBorders>
            <w:vAlign w:val="center"/>
            <w:hideMark/>
          </w:tcPr>
          <w:p w14:paraId="5C4D1F55"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对地块进行连续不间断的封闭式管理。</w:t>
            </w:r>
          </w:p>
        </w:tc>
        <w:tc>
          <w:tcPr>
            <w:tcW w:w="517" w:type="pct"/>
            <w:tcBorders>
              <w:top w:val="nil"/>
              <w:left w:val="nil"/>
              <w:bottom w:val="single" w:sz="4" w:space="0" w:color="auto"/>
              <w:right w:val="single" w:sz="4" w:space="0" w:color="auto"/>
            </w:tcBorders>
            <w:vAlign w:val="center"/>
            <w:hideMark/>
          </w:tcPr>
          <w:p w14:paraId="15B7EC87"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岗*月</w:t>
            </w:r>
          </w:p>
        </w:tc>
        <w:tc>
          <w:tcPr>
            <w:tcW w:w="829" w:type="pct"/>
            <w:tcBorders>
              <w:top w:val="nil"/>
              <w:left w:val="nil"/>
              <w:bottom w:val="single" w:sz="4" w:space="0" w:color="auto"/>
              <w:right w:val="single" w:sz="4" w:space="0" w:color="auto"/>
            </w:tcBorders>
            <w:vAlign w:val="center"/>
            <w:hideMark/>
          </w:tcPr>
          <w:p w14:paraId="4BF9B90E"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15,867.15 </w:t>
            </w:r>
          </w:p>
        </w:tc>
      </w:tr>
      <w:tr w:rsidR="004D4083" w:rsidRPr="004D4083" w14:paraId="37925ED9" w14:textId="77777777" w:rsidTr="004D4083">
        <w:trPr>
          <w:trHeight w:val="882"/>
        </w:trPr>
        <w:tc>
          <w:tcPr>
            <w:tcW w:w="339" w:type="pct"/>
            <w:vMerge w:val="restart"/>
            <w:tcBorders>
              <w:top w:val="nil"/>
              <w:left w:val="single" w:sz="4" w:space="0" w:color="auto"/>
              <w:bottom w:val="single" w:sz="4" w:space="0" w:color="000000"/>
              <w:right w:val="single" w:sz="4" w:space="0" w:color="auto"/>
            </w:tcBorders>
            <w:vAlign w:val="center"/>
            <w:hideMark/>
          </w:tcPr>
          <w:p w14:paraId="3356DF17"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2</w:t>
            </w:r>
          </w:p>
        </w:tc>
        <w:tc>
          <w:tcPr>
            <w:tcW w:w="598" w:type="pct"/>
            <w:vMerge w:val="restart"/>
            <w:tcBorders>
              <w:top w:val="nil"/>
              <w:left w:val="single" w:sz="4" w:space="0" w:color="auto"/>
              <w:bottom w:val="single" w:sz="4" w:space="0" w:color="auto"/>
              <w:right w:val="single" w:sz="4" w:space="0" w:color="auto"/>
            </w:tcBorders>
            <w:vAlign w:val="center"/>
            <w:hideMark/>
          </w:tcPr>
          <w:p w14:paraId="26B93F89"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新建装配式</w:t>
            </w:r>
            <w:proofErr w:type="gramStart"/>
            <w:r w:rsidRPr="004D4083">
              <w:rPr>
                <w:rFonts w:ascii="宋体" w:eastAsia="宋体" w:hAnsi="宋体" w:cs="宋体" w:hint="eastAsia"/>
                <w:kern w:val="0"/>
                <w:sz w:val="24"/>
              </w:rPr>
              <w:t>围蔽板</w:t>
            </w:r>
            <w:proofErr w:type="gramEnd"/>
          </w:p>
        </w:tc>
        <w:tc>
          <w:tcPr>
            <w:tcW w:w="1664" w:type="pct"/>
            <w:vMerge w:val="restart"/>
            <w:tcBorders>
              <w:top w:val="nil"/>
              <w:left w:val="single" w:sz="4" w:space="0" w:color="auto"/>
              <w:bottom w:val="single" w:sz="4" w:space="0" w:color="auto"/>
              <w:right w:val="single" w:sz="4" w:space="0" w:color="auto"/>
            </w:tcBorders>
            <w:vAlign w:val="center"/>
            <w:hideMark/>
          </w:tcPr>
          <w:p w14:paraId="2BC73DDE"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按照建设施工围蔽标准，地块围蔽暂定参照《广州市建设工程绿色施工围蔽指导图集》（V2.0版），一般适用地区的项目时间在半年以上的采用装配式H型钢结构、预制混凝土基础的形式。不考虑设置防雷、喷淋、灯光设施。</w:t>
            </w:r>
          </w:p>
        </w:tc>
        <w:tc>
          <w:tcPr>
            <w:tcW w:w="1053" w:type="pct"/>
            <w:tcBorders>
              <w:top w:val="nil"/>
              <w:left w:val="nil"/>
              <w:bottom w:val="single" w:sz="4" w:space="0" w:color="auto"/>
              <w:right w:val="single" w:sz="4" w:space="0" w:color="auto"/>
            </w:tcBorders>
            <w:vAlign w:val="center"/>
            <w:hideMark/>
          </w:tcPr>
          <w:p w14:paraId="159D31FC"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装配式H型钢结构制作、安装及维护</w:t>
            </w:r>
          </w:p>
        </w:tc>
        <w:tc>
          <w:tcPr>
            <w:tcW w:w="517" w:type="pct"/>
            <w:tcBorders>
              <w:top w:val="nil"/>
              <w:left w:val="nil"/>
              <w:bottom w:val="single" w:sz="4" w:space="0" w:color="auto"/>
              <w:right w:val="single" w:sz="4" w:space="0" w:color="auto"/>
            </w:tcBorders>
            <w:vAlign w:val="center"/>
            <w:hideMark/>
          </w:tcPr>
          <w:p w14:paraId="4A935D33"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米</w:t>
            </w:r>
          </w:p>
        </w:tc>
        <w:tc>
          <w:tcPr>
            <w:tcW w:w="829" w:type="pct"/>
            <w:tcBorders>
              <w:top w:val="nil"/>
              <w:left w:val="nil"/>
              <w:bottom w:val="single" w:sz="4" w:space="0" w:color="auto"/>
              <w:right w:val="single" w:sz="4" w:space="0" w:color="auto"/>
            </w:tcBorders>
            <w:vAlign w:val="center"/>
            <w:hideMark/>
          </w:tcPr>
          <w:p w14:paraId="126B4067"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1,052.87 </w:t>
            </w:r>
          </w:p>
        </w:tc>
      </w:tr>
      <w:tr w:rsidR="004D4083" w:rsidRPr="004D4083" w14:paraId="5FA87B58" w14:textId="77777777" w:rsidTr="004D4083">
        <w:trPr>
          <w:trHeight w:val="762"/>
        </w:trPr>
        <w:tc>
          <w:tcPr>
            <w:tcW w:w="339" w:type="pct"/>
            <w:vMerge/>
            <w:tcBorders>
              <w:top w:val="nil"/>
              <w:left w:val="single" w:sz="4" w:space="0" w:color="auto"/>
              <w:bottom w:val="single" w:sz="4" w:space="0" w:color="000000"/>
              <w:right w:val="single" w:sz="4" w:space="0" w:color="auto"/>
            </w:tcBorders>
            <w:vAlign w:val="center"/>
            <w:hideMark/>
          </w:tcPr>
          <w:p w14:paraId="054D83DA" w14:textId="77777777" w:rsidR="004D4083" w:rsidRPr="004D4083" w:rsidRDefault="004D4083" w:rsidP="004D4083">
            <w:pPr>
              <w:widowControl/>
              <w:spacing w:line="360" w:lineRule="auto"/>
              <w:jc w:val="left"/>
              <w:rPr>
                <w:rFonts w:ascii="宋体" w:eastAsia="宋体" w:hAnsi="宋体" w:cs="宋体"/>
                <w:kern w:val="0"/>
                <w:sz w:val="24"/>
              </w:rPr>
            </w:pPr>
          </w:p>
        </w:tc>
        <w:tc>
          <w:tcPr>
            <w:tcW w:w="598" w:type="pct"/>
            <w:vMerge/>
            <w:tcBorders>
              <w:top w:val="nil"/>
              <w:left w:val="single" w:sz="4" w:space="0" w:color="auto"/>
              <w:bottom w:val="single" w:sz="4" w:space="0" w:color="auto"/>
              <w:right w:val="single" w:sz="4" w:space="0" w:color="auto"/>
            </w:tcBorders>
            <w:vAlign w:val="center"/>
            <w:hideMark/>
          </w:tcPr>
          <w:p w14:paraId="09C7ED95" w14:textId="77777777" w:rsidR="004D4083" w:rsidRPr="004D4083" w:rsidRDefault="004D4083" w:rsidP="004D4083">
            <w:pPr>
              <w:widowControl/>
              <w:spacing w:line="360" w:lineRule="auto"/>
              <w:jc w:val="left"/>
              <w:rPr>
                <w:rFonts w:ascii="宋体" w:eastAsia="宋体" w:hAnsi="宋体" w:cs="宋体"/>
                <w:kern w:val="0"/>
                <w:sz w:val="24"/>
              </w:rPr>
            </w:pPr>
          </w:p>
        </w:tc>
        <w:tc>
          <w:tcPr>
            <w:tcW w:w="1664" w:type="pct"/>
            <w:vMerge/>
            <w:tcBorders>
              <w:top w:val="nil"/>
              <w:left w:val="single" w:sz="4" w:space="0" w:color="auto"/>
              <w:bottom w:val="single" w:sz="4" w:space="0" w:color="auto"/>
              <w:right w:val="single" w:sz="4" w:space="0" w:color="auto"/>
            </w:tcBorders>
            <w:vAlign w:val="center"/>
            <w:hideMark/>
          </w:tcPr>
          <w:p w14:paraId="55F2271F" w14:textId="77777777" w:rsidR="004D4083" w:rsidRPr="004D4083" w:rsidRDefault="004D4083" w:rsidP="004D4083">
            <w:pPr>
              <w:widowControl/>
              <w:spacing w:line="360" w:lineRule="auto"/>
              <w:jc w:val="left"/>
              <w:rPr>
                <w:rFonts w:ascii="宋体" w:eastAsia="宋体" w:hAnsi="宋体" w:cs="宋体"/>
                <w:kern w:val="0"/>
                <w:sz w:val="24"/>
              </w:rPr>
            </w:pPr>
          </w:p>
        </w:tc>
        <w:tc>
          <w:tcPr>
            <w:tcW w:w="1053" w:type="pct"/>
            <w:tcBorders>
              <w:top w:val="nil"/>
              <w:left w:val="nil"/>
              <w:bottom w:val="single" w:sz="4" w:space="0" w:color="auto"/>
              <w:right w:val="single" w:sz="4" w:space="0" w:color="auto"/>
            </w:tcBorders>
            <w:vAlign w:val="center"/>
            <w:hideMark/>
          </w:tcPr>
          <w:p w14:paraId="45D3C0BB"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预制混凝土基础及安装</w:t>
            </w:r>
          </w:p>
        </w:tc>
        <w:tc>
          <w:tcPr>
            <w:tcW w:w="517" w:type="pct"/>
            <w:tcBorders>
              <w:top w:val="nil"/>
              <w:left w:val="nil"/>
              <w:bottom w:val="single" w:sz="4" w:space="0" w:color="auto"/>
              <w:right w:val="single" w:sz="4" w:space="0" w:color="auto"/>
            </w:tcBorders>
            <w:vAlign w:val="center"/>
            <w:hideMark/>
          </w:tcPr>
          <w:p w14:paraId="6795920F"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米</w:t>
            </w:r>
          </w:p>
        </w:tc>
        <w:tc>
          <w:tcPr>
            <w:tcW w:w="829" w:type="pct"/>
            <w:tcBorders>
              <w:top w:val="nil"/>
              <w:left w:val="nil"/>
              <w:bottom w:val="single" w:sz="4" w:space="0" w:color="auto"/>
              <w:right w:val="single" w:sz="4" w:space="0" w:color="auto"/>
            </w:tcBorders>
            <w:vAlign w:val="center"/>
            <w:hideMark/>
          </w:tcPr>
          <w:p w14:paraId="70113844"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429.73 </w:t>
            </w:r>
          </w:p>
        </w:tc>
      </w:tr>
      <w:tr w:rsidR="004D4083" w:rsidRPr="004D4083" w14:paraId="35173DAA" w14:textId="77777777" w:rsidTr="004D4083">
        <w:trPr>
          <w:trHeight w:val="1482"/>
        </w:trPr>
        <w:tc>
          <w:tcPr>
            <w:tcW w:w="339" w:type="pct"/>
            <w:vMerge/>
            <w:tcBorders>
              <w:top w:val="nil"/>
              <w:left w:val="single" w:sz="4" w:space="0" w:color="auto"/>
              <w:bottom w:val="single" w:sz="4" w:space="0" w:color="000000"/>
              <w:right w:val="single" w:sz="4" w:space="0" w:color="auto"/>
            </w:tcBorders>
            <w:vAlign w:val="center"/>
            <w:hideMark/>
          </w:tcPr>
          <w:p w14:paraId="5D90B582" w14:textId="77777777" w:rsidR="004D4083" w:rsidRPr="004D4083" w:rsidRDefault="004D4083" w:rsidP="004D4083">
            <w:pPr>
              <w:widowControl/>
              <w:spacing w:line="360" w:lineRule="auto"/>
              <w:jc w:val="left"/>
              <w:rPr>
                <w:rFonts w:ascii="宋体" w:eastAsia="宋体" w:hAnsi="宋体" w:cs="宋体"/>
                <w:kern w:val="0"/>
                <w:sz w:val="24"/>
              </w:rPr>
            </w:pPr>
          </w:p>
        </w:tc>
        <w:tc>
          <w:tcPr>
            <w:tcW w:w="598" w:type="pct"/>
            <w:vMerge/>
            <w:tcBorders>
              <w:top w:val="nil"/>
              <w:left w:val="single" w:sz="4" w:space="0" w:color="auto"/>
              <w:bottom w:val="single" w:sz="4" w:space="0" w:color="auto"/>
              <w:right w:val="single" w:sz="4" w:space="0" w:color="auto"/>
            </w:tcBorders>
            <w:vAlign w:val="center"/>
            <w:hideMark/>
          </w:tcPr>
          <w:p w14:paraId="13903490" w14:textId="77777777" w:rsidR="004D4083" w:rsidRPr="004D4083" w:rsidRDefault="004D4083" w:rsidP="004D4083">
            <w:pPr>
              <w:widowControl/>
              <w:spacing w:line="360" w:lineRule="auto"/>
              <w:jc w:val="left"/>
              <w:rPr>
                <w:rFonts w:ascii="宋体" w:eastAsia="宋体" w:hAnsi="宋体" w:cs="宋体"/>
                <w:kern w:val="0"/>
                <w:sz w:val="24"/>
              </w:rPr>
            </w:pPr>
          </w:p>
        </w:tc>
        <w:tc>
          <w:tcPr>
            <w:tcW w:w="1664" w:type="pct"/>
            <w:vMerge/>
            <w:tcBorders>
              <w:top w:val="nil"/>
              <w:left w:val="single" w:sz="4" w:space="0" w:color="auto"/>
              <w:bottom w:val="single" w:sz="4" w:space="0" w:color="auto"/>
              <w:right w:val="single" w:sz="4" w:space="0" w:color="auto"/>
            </w:tcBorders>
            <w:vAlign w:val="center"/>
            <w:hideMark/>
          </w:tcPr>
          <w:p w14:paraId="1E3D4737" w14:textId="77777777" w:rsidR="004D4083" w:rsidRPr="004D4083" w:rsidRDefault="004D4083" w:rsidP="004D4083">
            <w:pPr>
              <w:widowControl/>
              <w:spacing w:line="360" w:lineRule="auto"/>
              <w:jc w:val="left"/>
              <w:rPr>
                <w:rFonts w:ascii="宋体" w:eastAsia="宋体" w:hAnsi="宋体" w:cs="宋体"/>
                <w:kern w:val="0"/>
                <w:sz w:val="24"/>
              </w:rPr>
            </w:pPr>
          </w:p>
        </w:tc>
        <w:tc>
          <w:tcPr>
            <w:tcW w:w="1053" w:type="pct"/>
            <w:tcBorders>
              <w:top w:val="nil"/>
              <w:left w:val="nil"/>
              <w:bottom w:val="single" w:sz="4" w:space="0" w:color="auto"/>
              <w:right w:val="single" w:sz="4" w:space="0" w:color="auto"/>
            </w:tcBorders>
            <w:vAlign w:val="center"/>
            <w:hideMark/>
          </w:tcPr>
          <w:p w14:paraId="2FE1C6B9"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拆除装配式H型钢结构及混凝土基础并重新安装</w:t>
            </w:r>
          </w:p>
        </w:tc>
        <w:tc>
          <w:tcPr>
            <w:tcW w:w="517" w:type="pct"/>
            <w:tcBorders>
              <w:top w:val="nil"/>
              <w:left w:val="nil"/>
              <w:bottom w:val="single" w:sz="4" w:space="0" w:color="auto"/>
              <w:right w:val="single" w:sz="4" w:space="0" w:color="auto"/>
            </w:tcBorders>
            <w:vAlign w:val="center"/>
            <w:hideMark/>
          </w:tcPr>
          <w:p w14:paraId="03917476"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米</w:t>
            </w:r>
          </w:p>
        </w:tc>
        <w:tc>
          <w:tcPr>
            <w:tcW w:w="829" w:type="pct"/>
            <w:tcBorders>
              <w:top w:val="nil"/>
              <w:left w:val="nil"/>
              <w:bottom w:val="single" w:sz="4" w:space="0" w:color="auto"/>
              <w:right w:val="single" w:sz="4" w:space="0" w:color="auto"/>
            </w:tcBorders>
            <w:vAlign w:val="center"/>
            <w:hideMark/>
          </w:tcPr>
          <w:p w14:paraId="7E2D90C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305.47 </w:t>
            </w:r>
          </w:p>
        </w:tc>
      </w:tr>
      <w:tr w:rsidR="004D4083" w:rsidRPr="004D4083" w14:paraId="02950442" w14:textId="77777777" w:rsidTr="004D4083">
        <w:trPr>
          <w:trHeight w:val="840"/>
        </w:trPr>
        <w:tc>
          <w:tcPr>
            <w:tcW w:w="339" w:type="pct"/>
            <w:vMerge/>
            <w:tcBorders>
              <w:top w:val="nil"/>
              <w:left w:val="single" w:sz="4" w:space="0" w:color="auto"/>
              <w:bottom w:val="single" w:sz="4" w:space="0" w:color="000000"/>
              <w:right w:val="single" w:sz="4" w:space="0" w:color="auto"/>
            </w:tcBorders>
            <w:vAlign w:val="center"/>
            <w:hideMark/>
          </w:tcPr>
          <w:p w14:paraId="57A57ED8" w14:textId="77777777" w:rsidR="004D4083" w:rsidRPr="004D4083" w:rsidRDefault="004D4083" w:rsidP="004D4083">
            <w:pPr>
              <w:widowControl/>
              <w:spacing w:line="360" w:lineRule="auto"/>
              <w:jc w:val="left"/>
              <w:rPr>
                <w:rFonts w:ascii="宋体" w:eastAsia="宋体" w:hAnsi="宋体" w:cs="宋体"/>
                <w:kern w:val="0"/>
                <w:sz w:val="24"/>
              </w:rPr>
            </w:pPr>
          </w:p>
        </w:tc>
        <w:tc>
          <w:tcPr>
            <w:tcW w:w="598" w:type="pct"/>
            <w:vMerge/>
            <w:tcBorders>
              <w:top w:val="nil"/>
              <w:left w:val="single" w:sz="4" w:space="0" w:color="auto"/>
              <w:bottom w:val="single" w:sz="4" w:space="0" w:color="auto"/>
              <w:right w:val="single" w:sz="4" w:space="0" w:color="auto"/>
            </w:tcBorders>
            <w:vAlign w:val="center"/>
            <w:hideMark/>
          </w:tcPr>
          <w:p w14:paraId="03000761" w14:textId="77777777" w:rsidR="004D4083" w:rsidRPr="004D4083" w:rsidRDefault="004D4083" w:rsidP="004D4083">
            <w:pPr>
              <w:widowControl/>
              <w:spacing w:line="360" w:lineRule="auto"/>
              <w:jc w:val="left"/>
              <w:rPr>
                <w:rFonts w:ascii="宋体" w:eastAsia="宋体" w:hAnsi="宋体" w:cs="宋体"/>
                <w:kern w:val="0"/>
                <w:sz w:val="24"/>
              </w:rPr>
            </w:pPr>
          </w:p>
        </w:tc>
        <w:tc>
          <w:tcPr>
            <w:tcW w:w="1664" w:type="pct"/>
            <w:vMerge/>
            <w:tcBorders>
              <w:top w:val="nil"/>
              <w:left w:val="single" w:sz="4" w:space="0" w:color="auto"/>
              <w:bottom w:val="single" w:sz="4" w:space="0" w:color="auto"/>
              <w:right w:val="single" w:sz="4" w:space="0" w:color="auto"/>
            </w:tcBorders>
            <w:vAlign w:val="center"/>
            <w:hideMark/>
          </w:tcPr>
          <w:p w14:paraId="3327BEB9" w14:textId="77777777" w:rsidR="004D4083" w:rsidRPr="004D4083" w:rsidRDefault="004D4083" w:rsidP="004D4083">
            <w:pPr>
              <w:widowControl/>
              <w:spacing w:line="360" w:lineRule="auto"/>
              <w:jc w:val="left"/>
              <w:rPr>
                <w:rFonts w:ascii="宋体" w:eastAsia="宋体" w:hAnsi="宋体" w:cs="宋体"/>
                <w:kern w:val="0"/>
                <w:sz w:val="24"/>
              </w:rPr>
            </w:pPr>
          </w:p>
        </w:tc>
        <w:tc>
          <w:tcPr>
            <w:tcW w:w="1053" w:type="pct"/>
            <w:tcBorders>
              <w:top w:val="nil"/>
              <w:left w:val="nil"/>
              <w:bottom w:val="single" w:sz="4" w:space="0" w:color="auto"/>
              <w:right w:val="single" w:sz="4" w:space="0" w:color="auto"/>
            </w:tcBorders>
            <w:vAlign w:val="center"/>
            <w:hideMark/>
          </w:tcPr>
          <w:p w14:paraId="16CC98AD"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装配式H型钢结构、预制混凝土基础的转运</w:t>
            </w:r>
          </w:p>
        </w:tc>
        <w:tc>
          <w:tcPr>
            <w:tcW w:w="517" w:type="pct"/>
            <w:tcBorders>
              <w:top w:val="nil"/>
              <w:left w:val="nil"/>
              <w:bottom w:val="single" w:sz="4" w:space="0" w:color="auto"/>
              <w:right w:val="single" w:sz="4" w:space="0" w:color="auto"/>
            </w:tcBorders>
            <w:vAlign w:val="center"/>
            <w:hideMark/>
          </w:tcPr>
          <w:p w14:paraId="4209EAAE"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米</w:t>
            </w:r>
          </w:p>
        </w:tc>
        <w:tc>
          <w:tcPr>
            <w:tcW w:w="829" w:type="pct"/>
            <w:tcBorders>
              <w:top w:val="nil"/>
              <w:left w:val="nil"/>
              <w:bottom w:val="single" w:sz="4" w:space="0" w:color="auto"/>
              <w:right w:val="single" w:sz="4" w:space="0" w:color="auto"/>
            </w:tcBorders>
            <w:vAlign w:val="center"/>
            <w:hideMark/>
          </w:tcPr>
          <w:p w14:paraId="117CFA24"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321.77 </w:t>
            </w:r>
          </w:p>
        </w:tc>
      </w:tr>
      <w:tr w:rsidR="004D4083" w:rsidRPr="004D4083" w14:paraId="4C08F357" w14:textId="77777777" w:rsidTr="004D4083">
        <w:trPr>
          <w:trHeight w:val="1380"/>
        </w:trPr>
        <w:tc>
          <w:tcPr>
            <w:tcW w:w="339" w:type="pct"/>
            <w:vMerge w:val="restart"/>
            <w:tcBorders>
              <w:top w:val="nil"/>
              <w:left w:val="single" w:sz="4" w:space="0" w:color="auto"/>
              <w:bottom w:val="single" w:sz="4" w:space="0" w:color="000000"/>
              <w:right w:val="single" w:sz="4" w:space="0" w:color="auto"/>
            </w:tcBorders>
            <w:vAlign w:val="center"/>
            <w:hideMark/>
          </w:tcPr>
          <w:p w14:paraId="29D10EE7"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3</w:t>
            </w:r>
          </w:p>
        </w:tc>
        <w:tc>
          <w:tcPr>
            <w:tcW w:w="598" w:type="pct"/>
            <w:vMerge w:val="restart"/>
            <w:tcBorders>
              <w:top w:val="nil"/>
              <w:left w:val="single" w:sz="4" w:space="0" w:color="auto"/>
              <w:bottom w:val="single" w:sz="4" w:space="0" w:color="auto"/>
              <w:right w:val="single" w:sz="4" w:space="0" w:color="auto"/>
            </w:tcBorders>
            <w:vAlign w:val="center"/>
            <w:hideMark/>
          </w:tcPr>
          <w:p w14:paraId="54356CDD"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水马围挡</w:t>
            </w:r>
          </w:p>
        </w:tc>
        <w:tc>
          <w:tcPr>
            <w:tcW w:w="2717" w:type="pct"/>
            <w:gridSpan w:val="2"/>
            <w:tcBorders>
              <w:top w:val="single" w:sz="4" w:space="0" w:color="auto"/>
              <w:left w:val="nil"/>
              <w:bottom w:val="single" w:sz="4" w:space="0" w:color="auto"/>
              <w:right w:val="single" w:sz="4" w:space="0" w:color="auto"/>
            </w:tcBorders>
            <w:vAlign w:val="center"/>
            <w:hideMark/>
          </w:tcPr>
          <w:p w14:paraId="209E4CED"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按照建设施工围蔽标准，地块围蔽暂定参照《广州市建设工程绿色施工围蔽指导图集》（V2.0版），对地块周边环境、行人、交通有影响且不宜设置封闭</w:t>
            </w:r>
            <w:r w:rsidRPr="004D4083">
              <w:rPr>
                <w:rFonts w:ascii="宋体" w:eastAsia="宋体" w:hAnsi="宋体" w:cs="宋体" w:hint="eastAsia"/>
                <w:kern w:val="0"/>
                <w:sz w:val="24"/>
              </w:rPr>
              <w:lastRenderedPageBreak/>
              <w:t>围挡、需要临时封闭围蔽的区域，采用高水马</w:t>
            </w:r>
          </w:p>
        </w:tc>
        <w:tc>
          <w:tcPr>
            <w:tcW w:w="517" w:type="pct"/>
            <w:tcBorders>
              <w:top w:val="nil"/>
              <w:left w:val="nil"/>
              <w:bottom w:val="single" w:sz="4" w:space="0" w:color="auto"/>
              <w:right w:val="single" w:sz="4" w:space="0" w:color="auto"/>
            </w:tcBorders>
            <w:vAlign w:val="center"/>
            <w:hideMark/>
          </w:tcPr>
          <w:p w14:paraId="73F9F67D" w14:textId="77777777" w:rsidR="004D4083" w:rsidRPr="004D4083" w:rsidRDefault="004D4083" w:rsidP="004D4083">
            <w:pPr>
              <w:widowControl/>
              <w:spacing w:line="360" w:lineRule="auto"/>
              <w:jc w:val="center"/>
              <w:rPr>
                <w:rFonts w:ascii="宋体" w:eastAsia="宋体" w:hAnsi="宋体" w:cs="宋体"/>
                <w:kern w:val="0"/>
                <w:sz w:val="24"/>
              </w:rPr>
            </w:pPr>
            <w:proofErr w:type="gramStart"/>
            <w:r w:rsidRPr="004D4083">
              <w:rPr>
                <w:rFonts w:ascii="宋体" w:eastAsia="宋体" w:hAnsi="宋体" w:cs="宋体" w:hint="eastAsia"/>
                <w:kern w:val="0"/>
                <w:sz w:val="24"/>
              </w:rPr>
              <w:lastRenderedPageBreak/>
              <w:t>个</w:t>
            </w:r>
            <w:proofErr w:type="gramEnd"/>
          </w:p>
        </w:tc>
        <w:tc>
          <w:tcPr>
            <w:tcW w:w="829" w:type="pct"/>
            <w:tcBorders>
              <w:top w:val="nil"/>
              <w:left w:val="nil"/>
              <w:bottom w:val="single" w:sz="4" w:space="0" w:color="auto"/>
              <w:right w:val="single" w:sz="4" w:space="0" w:color="auto"/>
            </w:tcBorders>
            <w:vAlign w:val="center"/>
            <w:hideMark/>
          </w:tcPr>
          <w:p w14:paraId="577203CF"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246.00 </w:t>
            </w:r>
          </w:p>
        </w:tc>
      </w:tr>
      <w:tr w:rsidR="004D4083" w:rsidRPr="004D4083" w14:paraId="5CE229A9" w14:textId="77777777" w:rsidTr="004D4083">
        <w:trPr>
          <w:trHeight w:val="1320"/>
        </w:trPr>
        <w:tc>
          <w:tcPr>
            <w:tcW w:w="339" w:type="pct"/>
            <w:vMerge/>
            <w:tcBorders>
              <w:top w:val="nil"/>
              <w:left w:val="single" w:sz="4" w:space="0" w:color="auto"/>
              <w:bottom w:val="single" w:sz="4" w:space="0" w:color="000000"/>
              <w:right w:val="single" w:sz="4" w:space="0" w:color="auto"/>
            </w:tcBorders>
            <w:vAlign w:val="center"/>
            <w:hideMark/>
          </w:tcPr>
          <w:p w14:paraId="0E6C33F7" w14:textId="77777777" w:rsidR="004D4083" w:rsidRPr="004D4083" w:rsidRDefault="004D4083" w:rsidP="004D4083">
            <w:pPr>
              <w:widowControl/>
              <w:spacing w:line="360" w:lineRule="auto"/>
              <w:jc w:val="left"/>
              <w:rPr>
                <w:rFonts w:ascii="宋体" w:eastAsia="宋体" w:hAnsi="宋体" w:cs="宋体"/>
                <w:kern w:val="0"/>
                <w:sz w:val="24"/>
              </w:rPr>
            </w:pPr>
          </w:p>
        </w:tc>
        <w:tc>
          <w:tcPr>
            <w:tcW w:w="598" w:type="pct"/>
            <w:vMerge/>
            <w:tcBorders>
              <w:top w:val="nil"/>
              <w:left w:val="single" w:sz="4" w:space="0" w:color="auto"/>
              <w:bottom w:val="single" w:sz="4" w:space="0" w:color="auto"/>
              <w:right w:val="single" w:sz="4" w:space="0" w:color="auto"/>
            </w:tcBorders>
            <w:vAlign w:val="center"/>
            <w:hideMark/>
          </w:tcPr>
          <w:p w14:paraId="681238A9" w14:textId="77777777" w:rsidR="004D4083" w:rsidRPr="004D4083" w:rsidRDefault="004D4083" w:rsidP="004D4083">
            <w:pPr>
              <w:widowControl/>
              <w:spacing w:line="360" w:lineRule="auto"/>
              <w:jc w:val="left"/>
              <w:rPr>
                <w:rFonts w:ascii="宋体" w:eastAsia="宋体" w:hAnsi="宋体" w:cs="宋体"/>
                <w:kern w:val="0"/>
                <w:sz w:val="24"/>
              </w:rPr>
            </w:pPr>
          </w:p>
        </w:tc>
        <w:tc>
          <w:tcPr>
            <w:tcW w:w="2717" w:type="pct"/>
            <w:gridSpan w:val="2"/>
            <w:tcBorders>
              <w:top w:val="single" w:sz="4" w:space="0" w:color="auto"/>
              <w:left w:val="nil"/>
              <w:bottom w:val="single" w:sz="4" w:space="0" w:color="auto"/>
              <w:right w:val="single" w:sz="4" w:space="0" w:color="auto"/>
            </w:tcBorders>
            <w:vAlign w:val="center"/>
            <w:hideMark/>
          </w:tcPr>
          <w:p w14:paraId="1E149280"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按照建设施工围蔽标准，地块围蔽暂定参照《广州市建设工程绿色施工围蔽指导图集》（V2.0版），对地块周边环境、行人、交通有影响且不宜设置封闭围挡、需要临时封闭围蔽的区域，采用常规水马</w:t>
            </w:r>
          </w:p>
        </w:tc>
        <w:tc>
          <w:tcPr>
            <w:tcW w:w="517" w:type="pct"/>
            <w:tcBorders>
              <w:top w:val="nil"/>
              <w:left w:val="nil"/>
              <w:bottom w:val="single" w:sz="4" w:space="0" w:color="auto"/>
              <w:right w:val="single" w:sz="4" w:space="0" w:color="auto"/>
            </w:tcBorders>
            <w:vAlign w:val="center"/>
            <w:hideMark/>
          </w:tcPr>
          <w:p w14:paraId="1644E995" w14:textId="77777777" w:rsidR="004D4083" w:rsidRPr="004D4083" w:rsidRDefault="004D4083" w:rsidP="004D4083">
            <w:pPr>
              <w:widowControl/>
              <w:spacing w:line="360" w:lineRule="auto"/>
              <w:jc w:val="center"/>
              <w:rPr>
                <w:rFonts w:ascii="宋体" w:eastAsia="宋体" w:hAnsi="宋体" w:cs="宋体"/>
                <w:kern w:val="0"/>
                <w:sz w:val="24"/>
              </w:rPr>
            </w:pPr>
            <w:proofErr w:type="gramStart"/>
            <w:r w:rsidRPr="004D4083">
              <w:rPr>
                <w:rFonts w:ascii="宋体" w:eastAsia="宋体" w:hAnsi="宋体" w:cs="宋体" w:hint="eastAsia"/>
                <w:kern w:val="0"/>
                <w:sz w:val="24"/>
              </w:rPr>
              <w:t>个</w:t>
            </w:r>
            <w:proofErr w:type="gramEnd"/>
          </w:p>
        </w:tc>
        <w:tc>
          <w:tcPr>
            <w:tcW w:w="829" w:type="pct"/>
            <w:tcBorders>
              <w:top w:val="nil"/>
              <w:left w:val="nil"/>
              <w:bottom w:val="single" w:sz="4" w:space="0" w:color="auto"/>
              <w:right w:val="single" w:sz="4" w:space="0" w:color="auto"/>
            </w:tcBorders>
            <w:vAlign w:val="center"/>
            <w:hideMark/>
          </w:tcPr>
          <w:p w14:paraId="6CC1ABA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176.98 </w:t>
            </w:r>
          </w:p>
        </w:tc>
      </w:tr>
      <w:tr w:rsidR="004D4083" w:rsidRPr="004D4083" w14:paraId="2331A607" w14:textId="77777777" w:rsidTr="004D4083">
        <w:trPr>
          <w:trHeight w:val="882"/>
        </w:trPr>
        <w:tc>
          <w:tcPr>
            <w:tcW w:w="339" w:type="pct"/>
            <w:tcBorders>
              <w:top w:val="nil"/>
              <w:left w:val="single" w:sz="4" w:space="0" w:color="auto"/>
              <w:bottom w:val="single" w:sz="4" w:space="0" w:color="auto"/>
              <w:right w:val="single" w:sz="4" w:space="0" w:color="auto"/>
            </w:tcBorders>
            <w:vAlign w:val="center"/>
            <w:hideMark/>
          </w:tcPr>
          <w:p w14:paraId="6B65211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4</w:t>
            </w:r>
          </w:p>
        </w:tc>
        <w:tc>
          <w:tcPr>
            <w:tcW w:w="598" w:type="pct"/>
            <w:tcBorders>
              <w:top w:val="nil"/>
              <w:left w:val="nil"/>
              <w:bottom w:val="single" w:sz="4" w:space="0" w:color="auto"/>
              <w:right w:val="single" w:sz="4" w:space="0" w:color="auto"/>
            </w:tcBorders>
            <w:vAlign w:val="center"/>
            <w:hideMark/>
          </w:tcPr>
          <w:p w14:paraId="21B27FDD"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围网修补</w:t>
            </w:r>
          </w:p>
        </w:tc>
        <w:tc>
          <w:tcPr>
            <w:tcW w:w="2717" w:type="pct"/>
            <w:gridSpan w:val="2"/>
            <w:tcBorders>
              <w:top w:val="single" w:sz="4" w:space="0" w:color="auto"/>
              <w:left w:val="nil"/>
              <w:bottom w:val="single" w:sz="4" w:space="0" w:color="auto"/>
              <w:right w:val="single" w:sz="4" w:space="0" w:color="auto"/>
            </w:tcBorders>
            <w:vAlign w:val="center"/>
            <w:hideMark/>
          </w:tcPr>
          <w:p w14:paraId="57E01055"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对围网进行维修、补全,高度≤250cm,</w:t>
            </w:r>
            <w:proofErr w:type="gramStart"/>
            <w:r w:rsidRPr="004D4083">
              <w:rPr>
                <w:rFonts w:ascii="宋体" w:eastAsia="宋体" w:hAnsi="宋体" w:cs="宋体" w:hint="eastAsia"/>
                <w:kern w:val="0"/>
                <w:sz w:val="24"/>
              </w:rPr>
              <w:t>含相关</w:t>
            </w:r>
            <w:proofErr w:type="gramEnd"/>
            <w:r w:rsidRPr="004D4083">
              <w:rPr>
                <w:rFonts w:ascii="宋体" w:eastAsia="宋体" w:hAnsi="宋体" w:cs="宋体" w:hint="eastAsia"/>
                <w:kern w:val="0"/>
                <w:sz w:val="24"/>
              </w:rPr>
              <w:t>材料。款式需与原先的一致。质保期为一年。</w:t>
            </w:r>
          </w:p>
        </w:tc>
        <w:tc>
          <w:tcPr>
            <w:tcW w:w="517" w:type="pct"/>
            <w:tcBorders>
              <w:top w:val="nil"/>
              <w:left w:val="nil"/>
              <w:bottom w:val="single" w:sz="4" w:space="0" w:color="auto"/>
              <w:right w:val="single" w:sz="4" w:space="0" w:color="auto"/>
            </w:tcBorders>
            <w:vAlign w:val="center"/>
            <w:hideMark/>
          </w:tcPr>
          <w:p w14:paraId="49DF7EEB"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米</w:t>
            </w:r>
          </w:p>
        </w:tc>
        <w:tc>
          <w:tcPr>
            <w:tcW w:w="829" w:type="pct"/>
            <w:tcBorders>
              <w:top w:val="nil"/>
              <w:left w:val="nil"/>
              <w:bottom w:val="single" w:sz="4" w:space="0" w:color="auto"/>
              <w:right w:val="single" w:sz="4" w:space="0" w:color="auto"/>
            </w:tcBorders>
            <w:vAlign w:val="center"/>
            <w:hideMark/>
          </w:tcPr>
          <w:p w14:paraId="1E14E8BF"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314.52 </w:t>
            </w:r>
          </w:p>
        </w:tc>
      </w:tr>
      <w:tr w:rsidR="004D4083" w:rsidRPr="004D4083" w14:paraId="1D638ED8" w14:textId="77777777" w:rsidTr="004D4083">
        <w:trPr>
          <w:trHeight w:val="720"/>
        </w:trPr>
        <w:tc>
          <w:tcPr>
            <w:tcW w:w="339" w:type="pct"/>
            <w:tcBorders>
              <w:top w:val="nil"/>
              <w:left w:val="single" w:sz="4" w:space="0" w:color="auto"/>
              <w:bottom w:val="single" w:sz="4" w:space="0" w:color="auto"/>
              <w:right w:val="single" w:sz="4" w:space="0" w:color="auto"/>
            </w:tcBorders>
            <w:vAlign w:val="center"/>
            <w:hideMark/>
          </w:tcPr>
          <w:p w14:paraId="42BB2EB0"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5</w:t>
            </w:r>
          </w:p>
        </w:tc>
        <w:tc>
          <w:tcPr>
            <w:tcW w:w="598" w:type="pct"/>
            <w:tcBorders>
              <w:top w:val="nil"/>
              <w:left w:val="nil"/>
              <w:bottom w:val="single" w:sz="4" w:space="0" w:color="auto"/>
              <w:right w:val="single" w:sz="4" w:space="0" w:color="auto"/>
            </w:tcBorders>
            <w:vAlign w:val="center"/>
            <w:hideMark/>
          </w:tcPr>
          <w:p w14:paraId="21FAEF1B" w14:textId="77777777" w:rsidR="004D4083" w:rsidRPr="004D4083" w:rsidRDefault="004D4083" w:rsidP="004D4083">
            <w:pPr>
              <w:widowControl/>
              <w:spacing w:line="360" w:lineRule="auto"/>
              <w:jc w:val="center"/>
              <w:rPr>
                <w:rFonts w:ascii="宋体" w:eastAsia="宋体" w:hAnsi="宋体" w:cs="宋体"/>
                <w:kern w:val="0"/>
                <w:sz w:val="24"/>
              </w:rPr>
            </w:pPr>
            <w:proofErr w:type="gramStart"/>
            <w:r w:rsidRPr="004D4083">
              <w:rPr>
                <w:rFonts w:ascii="宋体" w:eastAsia="宋体" w:hAnsi="宋体" w:cs="宋体" w:hint="eastAsia"/>
                <w:kern w:val="0"/>
                <w:sz w:val="24"/>
              </w:rPr>
              <w:t>围蔽板修补</w:t>
            </w:r>
            <w:proofErr w:type="gramEnd"/>
          </w:p>
        </w:tc>
        <w:tc>
          <w:tcPr>
            <w:tcW w:w="2717" w:type="pct"/>
            <w:gridSpan w:val="2"/>
            <w:tcBorders>
              <w:top w:val="single" w:sz="4" w:space="0" w:color="auto"/>
              <w:left w:val="nil"/>
              <w:bottom w:val="single" w:sz="4" w:space="0" w:color="auto"/>
              <w:right w:val="single" w:sz="4" w:space="0" w:color="auto"/>
            </w:tcBorders>
            <w:vAlign w:val="center"/>
            <w:hideMark/>
          </w:tcPr>
          <w:p w14:paraId="32B39821"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对</w:t>
            </w:r>
            <w:proofErr w:type="gramStart"/>
            <w:r w:rsidRPr="004D4083">
              <w:rPr>
                <w:rFonts w:ascii="宋体" w:eastAsia="宋体" w:hAnsi="宋体" w:cs="宋体" w:hint="eastAsia"/>
                <w:kern w:val="0"/>
                <w:sz w:val="24"/>
              </w:rPr>
              <w:t>围蔽板进行</w:t>
            </w:r>
            <w:proofErr w:type="gramEnd"/>
            <w:r w:rsidRPr="004D4083">
              <w:rPr>
                <w:rFonts w:ascii="宋体" w:eastAsia="宋体" w:hAnsi="宋体" w:cs="宋体" w:hint="eastAsia"/>
                <w:kern w:val="0"/>
                <w:sz w:val="24"/>
              </w:rPr>
              <w:t>维修、补全,高度≤250cm,</w:t>
            </w:r>
            <w:proofErr w:type="gramStart"/>
            <w:r w:rsidRPr="004D4083">
              <w:rPr>
                <w:rFonts w:ascii="宋体" w:eastAsia="宋体" w:hAnsi="宋体" w:cs="宋体" w:hint="eastAsia"/>
                <w:kern w:val="0"/>
                <w:sz w:val="24"/>
              </w:rPr>
              <w:t>含相关</w:t>
            </w:r>
            <w:proofErr w:type="gramEnd"/>
            <w:r w:rsidRPr="004D4083">
              <w:rPr>
                <w:rFonts w:ascii="宋体" w:eastAsia="宋体" w:hAnsi="宋体" w:cs="宋体" w:hint="eastAsia"/>
                <w:kern w:val="0"/>
                <w:sz w:val="24"/>
              </w:rPr>
              <w:t>材料泡沫夹芯板。款式需与原先的一致。质保期为一年。</w:t>
            </w:r>
          </w:p>
        </w:tc>
        <w:tc>
          <w:tcPr>
            <w:tcW w:w="517" w:type="pct"/>
            <w:tcBorders>
              <w:top w:val="nil"/>
              <w:left w:val="nil"/>
              <w:bottom w:val="single" w:sz="4" w:space="0" w:color="auto"/>
              <w:right w:val="single" w:sz="4" w:space="0" w:color="auto"/>
            </w:tcBorders>
            <w:vAlign w:val="center"/>
            <w:hideMark/>
          </w:tcPr>
          <w:p w14:paraId="2EE0021B"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米</w:t>
            </w:r>
          </w:p>
        </w:tc>
        <w:tc>
          <w:tcPr>
            <w:tcW w:w="829" w:type="pct"/>
            <w:tcBorders>
              <w:top w:val="nil"/>
              <w:left w:val="nil"/>
              <w:bottom w:val="single" w:sz="4" w:space="0" w:color="auto"/>
              <w:right w:val="single" w:sz="4" w:space="0" w:color="auto"/>
            </w:tcBorders>
            <w:vAlign w:val="center"/>
            <w:hideMark/>
          </w:tcPr>
          <w:p w14:paraId="62BD90A9"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314.05 </w:t>
            </w:r>
          </w:p>
        </w:tc>
      </w:tr>
      <w:tr w:rsidR="004D4083" w:rsidRPr="004D4083" w14:paraId="3C836767" w14:textId="77777777" w:rsidTr="004D4083">
        <w:trPr>
          <w:trHeight w:val="702"/>
        </w:trPr>
        <w:tc>
          <w:tcPr>
            <w:tcW w:w="339" w:type="pct"/>
            <w:tcBorders>
              <w:top w:val="nil"/>
              <w:left w:val="single" w:sz="4" w:space="0" w:color="auto"/>
              <w:bottom w:val="single" w:sz="4" w:space="0" w:color="auto"/>
              <w:right w:val="single" w:sz="4" w:space="0" w:color="auto"/>
            </w:tcBorders>
            <w:vAlign w:val="center"/>
            <w:hideMark/>
          </w:tcPr>
          <w:p w14:paraId="0F6BBA15"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6</w:t>
            </w:r>
          </w:p>
        </w:tc>
        <w:tc>
          <w:tcPr>
            <w:tcW w:w="598" w:type="pct"/>
            <w:tcBorders>
              <w:top w:val="nil"/>
              <w:left w:val="nil"/>
              <w:bottom w:val="single" w:sz="4" w:space="0" w:color="auto"/>
              <w:right w:val="single" w:sz="4" w:space="0" w:color="auto"/>
            </w:tcBorders>
            <w:vAlign w:val="center"/>
            <w:hideMark/>
          </w:tcPr>
          <w:p w14:paraId="32CE614A"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围墙修补</w:t>
            </w:r>
          </w:p>
        </w:tc>
        <w:tc>
          <w:tcPr>
            <w:tcW w:w="2717" w:type="pct"/>
            <w:gridSpan w:val="2"/>
            <w:tcBorders>
              <w:top w:val="single" w:sz="4" w:space="0" w:color="auto"/>
              <w:left w:val="nil"/>
              <w:bottom w:val="single" w:sz="4" w:space="0" w:color="auto"/>
              <w:right w:val="single" w:sz="4" w:space="0" w:color="auto"/>
            </w:tcBorders>
            <w:vAlign w:val="center"/>
            <w:hideMark/>
          </w:tcPr>
          <w:p w14:paraId="32772D6C"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对围墙进行维修、补全,高度≤250cm,</w:t>
            </w:r>
            <w:proofErr w:type="gramStart"/>
            <w:r w:rsidRPr="004D4083">
              <w:rPr>
                <w:rFonts w:ascii="宋体" w:eastAsia="宋体" w:hAnsi="宋体" w:cs="宋体" w:hint="eastAsia"/>
                <w:kern w:val="0"/>
                <w:sz w:val="24"/>
              </w:rPr>
              <w:t>含相关</w:t>
            </w:r>
            <w:proofErr w:type="gramEnd"/>
            <w:r w:rsidRPr="004D4083">
              <w:rPr>
                <w:rFonts w:ascii="宋体" w:eastAsia="宋体" w:hAnsi="宋体" w:cs="宋体" w:hint="eastAsia"/>
                <w:kern w:val="0"/>
                <w:sz w:val="24"/>
              </w:rPr>
              <w:t>材料。款式需与原先的一致。质保期为一年。</w:t>
            </w:r>
          </w:p>
        </w:tc>
        <w:tc>
          <w:tcPr>
            <w:tcW w:w="517" w:type="pct"/>
            <w:tcBorders>
              <w:top w:val="nil"/>
              <w:left w:val="nil"/>
              <w:bottom w:val="single" w:sz="4" w:space="0" w:color="auto"/>
              <w:right w:val="single" w:sz="4" w:space="0" w:color="auto"/>
            </w:tcBorders>
            <w:vAlign w:val="center"/>
            <w:hideMark/>
          </w:tcPr>
          <w:p w14:paraId="21166466"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立方米</w:t>
            </w:r>
          </w:p>
        </w:tc>
        <w:tc>
          <w:tcPr>
            <w:tcW w:w="829" w:type="pct"/>
            <w:tcBorders>
              <w:top w:val="nil"/>
              <w:left w:val="nil"/>
              <w:bottom w:val="single" w:sz="4" w:space="0" w:color="auto"/>
              <w:right w:val="single" w:sz="4" w:space="0" w:color="auto"/>
            </w:tcBorders>
            <w:vAlign w:val="center"/>
            <w:hideMark/>
          </w:tcPr>
          <w:p w14:paraId="73166090"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917.26 </w:t>
            </w:r>
          </w:p>
        </w:tc>
      </w:tr>
      <w:tr w:rsidR="004D4083" w:rsidRPr="004D4083" w14:paraId="78B94E1A" w14:textId="77777777" w:rsidTr="004D4083">
        <w:trPr>
          <w:trHeight w:val="1020"/>
        </w:trPr>
        <w:tc>
          <w:tcPr>
            <w:tcW w:w="339" w:type="pct"/>
            <w:tcBorders>
              <w:top w:val="nil"/>
              <w:left w:val="single" w:sz="4" w:space="0" w:color="auto"/>
              <w:bottom w:val="single" w:sz="4" w:space="0" w:color="auto"/>
              <w:right w:val="single" w:sz="4" w:space="0" w:color="auto"/>
            </w:tcBorders>
            <w:vAlign w:val="center"/>
            <w:hideMark/>
          </w:tcPr>
          <w:p w14:paraId="1822B442"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7</w:t>
            </w:r>
          </w:p>
        </w:tc>
        <w:tc>
          <w:tcPr>
            <w:tcW w:w="598" w:type="pct"/>
            <w:tcBorders>
              <w:top w:val="nil"/>
              <w:left w:val="nil"/>
              <w:bottom w:val="single" w:sz="4" w:space="0" w:color="auto"/>
              <w:right w:val="single" w:sz="4" w:space="0" w:color="auto"/>
            </w:tcBorders>
            <w:vAlign w:val="center"/>
            <w:hideMark/>
          </w:tcPr>
          <w:p w14:paraId="066A19A7"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拆除地表障碍物</w:t>
            </w:r>
          </w:p>
        </w:tc>
        <w:tc>
          <w:tcPr>
            <w:tcW w:w="2717" w:type="pct"/>
            <w:gridSpan w:val="2"/>
            <w:tcBorders>
              <w:top w:val="single" w:sz="4" w:space="0" w:color="auto"/>
              <w:left w:val="nil"/>
              <w:bottom w:val="single" w:sz="4" w:space="0" w:color="auto"/>
              <w:right w:val="single" w:sz="4" w:space="0" w:color="auto"/>
            </w:tcBorders>
            <w:vAlign w:val="center"/>
            <w:hideMark/>
          </w:tcPr>
          <w:p w14:paraId="2F66CEB2"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机械拆除地表存在的障碍物、建筑物、构筑物、围墙、搭棚等结构物,平整地面直至可通行。运离地块,并根据城市管理相关规定运至指定场地弃置。含处置费。</w:t>
            </w:r>
          </w:p>
        </w:tc>
        <w:tc>
          <w:tcPr>
            <w:tcW w:w="517" w:type="pct"/>
            <w:tcBorders>
              <w:top w:val="nil"/>
              <w:left w:val="nil"/>
              <w:bottom w:val="single" w:sz="4" w:space="0" w:color="auto"/>
              <w:right w:val="single" w:sz="4" w:space="0" w:color="auto"/>
            </w:tcBorders>
            <w:vAlign w:val="center"/>
            <w:hideMark/>
          </w:tcPr>
          <w:p w14:paraId="161450E4"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24700695"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115.79 </w:t>
            </w:r>
          </w:p>
        </w:tc>
      </w:tr>
      <w:tr w:rsidR="004D4083" w:rsidRPr="004D4083" w14:paraId="106CCE77" w14:textId="77777777" w:rsidTr="004D4083">
        <w:trPr>
          <w:trHeight w:val="1062"/>
        </w:trPr>
        <w:tc>
          <w:tcPr>
            <w:tcW w:w="339" w:type="pct"/>
            <w:tcBorders>
              <w:top w:val="nil"/>
              <w:left w:val="single" w:sz="4" w:space="0" w:color="auto"/>
              <w:bottom w:val="single" w:sz="4" w:space="0" w:color="auto"/>
              <w:right w:val="single" w:sz="4" w:space="0" w:color="auto"/>
            </w:tcBorders>
            <w:vAlign w:val="center"/>
            <w:hideMark/>
          </w:tcPr>
          <w:p w14:paraId="77F642B0"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8</w:t>
            </w:r>
          </w:p>
        </w:tc>
        <w:tc>
          <w:tcPr>
            <w:tcW w:w="598" w:type="pct"/>
            <w:tcBorders>
              <w:top w:val="nil"/>
              <w:left w:val="nil"/>
              <w:bottom w:val="single" w:sz="4" w:space="0" w:color="auto"/>
              <w:right w:val="single" w:sz="4" w:space="0" w:color="auto"/>
            </w:tcBorders>
            <w:vAlign w:val="center"/>
            <w:hideMark/>
          </w:tcPr>
          <w:p w14:paraId="3D6954E5"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废弃物清运</w:t>
            </w:r>
          </w:p>
        </w:tc>
        <w:tc>
          <w:tcPr>
            <w:tcW w:w="2717" w:type="pct"/>
            <w:gridSpan w:val="2"/>
            <w:tcBorders>
              <w:top w:val="single" w:sz="4" w:space="0" w:color="auto"/>
              <w:left w:val="nil"/>
              <w:bottom w:val="single" w:sz="4" w:space="0" w:color="auto"/>
              <w:right w:val="single" w:sz="4" w:space="0" w:color="auto"/>
            </w:tcBorders>
            <w:vAlign w:val="center"/>
            <w:hideMark/>
          </w:tcPr>
          <w:p w14:paraId="0CEAB1E2"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清除地块内废弃物,包括但不限于树木枝叶、垃圾、石块、泥块、沟渠淤泥等,运离地块,并根据城市管理相关规定运至指定场地弃置。含处置费。</w:t>
            </w:r>
          </w:p>
        </w:tc>
        <w:tc>
          <w:tcPr>
            <w:tcW w:w="517" w:type="pct"/>
            <w:tcBorders>
              <w:top w:val="nil"/>
              <w:left w:val="nil"/>
              <w:bottom w:val="single" w:sz="4" w:space="0" w:color="auto"/>
              <w:right w:val="single" w:sz="4" w:space="0" w:color="auto"/>
            </w:tcBorders>
            <w:vAlign w:val="center"/>
            <w:hideMark/>
          </w:tcPr>
          <w:p w14:paraId="22B6D2AA"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立方米</w:t>
            </w:r>
          </w:p>
        </w:tc>
        <w:tc>
          <w:tcPr>
            <w:tcW w:w="829" w:type="pct"/>
            <w:tcBorders>
              <w:top w:val="nil"/>
              <w:left w:val="nil"/>
              <w:bottom w:val="single" w:sz="4" w:space="0" w:color="auto"/>
              <w:right w:val="single" w:sz="4" w:space="0" w:color="auto"/>
            </w:tcBorders>
            <w:vAlign w:val="center"/>
            <w:hideMark/>
          </w:tcPr>
          <w:p w14:paraId="5ABC9A00"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78.75 </w:t>
            </w:r>
          </w:p>
        </w:tc>
      </w:tr>
      <w:tr w:rsidR="004D4083" w:rsidRPr="004D4083" w14:paraId="3A9AE5A6" w14:textId="77777777" w:rsidTr="004D4083">
        <w:trPr>
          <w:trHeight w:val="762"/>
        </w:trPr>
        <w:tc>
          <w:tcPr>
            <w:tcW w:w="339" w:type="pct"/>
            <w:tcBorders>
              <w:top w:val="nil"/>
              <w:left w:val="single" w:sz="4" w:space="0" w:color="auto"/>
              <w:bottom w:val="single" w:sz="4" w:space="0" w:color="auto"/>
              <w:right w:val="single" w:sz="4" w:space="0" w:color="auto"/>
            </w:tcBorders>
            <w:vAlign w:val="center"/>
            <w:hideMark/>
          </w:tcPr>
          <w:p w14:paraId="39396440"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lastRenderedPageBreak/>
              <w:t>9</w:t>
            </w:r>
          </w:p>
        </w:tc>
        <w:tc>
          <w:tcPr>
            <w:tcW w:w="598" w:type="pct"/>
            <w:tcBorders>
              <w:top w:val="nil"/>
              <w:left w:val="nil"/>
              <w:bottom w:val="single" w:sz="4" w:space="0" w:color="auto"/>
              <w:right w:val="single" w:sz="4" w:space="0" w:color="auto"/>
            </w:tcBorders>
            <w:vAlign w:val="center"/>
            <w:hideMark/>
          </w:tcPr>
          <w:p w14:paraId="69C7CDDA"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人工除草</w:t>
            </w:r>
          </w:p>
        </w:tc>
        <w:tc>
          <w:tcPr>
            <w:tcW w:w="2717" w:type="pct"/>
            <w:gridSpan w:val="2"/>
            <w:tcBorders>
              <w:top w:val="single" w:sz="4" w:space="0" w:color="auto"/>
              <w:left w:val="nil"/>
              <w:bottom w:val="single" w:sz="4" w:space="0" w:color="auto"/>
              <w:right w:val="single" w:sz="4" w:space="0" w:color="auto"/>
            </w:tcBorders>
            <w:vAlign w:val="center"/>
            <w:hideMark/>
          </w:tcPr>
          <w:p w14:paraId="313125E6"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使用人工清除地块内部和边缘</w:t>
            </w:r>
            <w:proofErr w:type="gramStart"/>
            <w:r w:rsidRPr="004D4083">
              <w:rPr>
                <w:rFonts w:ascii="宋体" w:eastAsia="宋体" w:hAnsi="宋体" w:cs="宋体" w:hint="eastAsia"/>
                <w:kern w:val="0"/>
                <w:sz w:val="24"/>
              </w:rPr>
              <w:t>绿植,</w:t>
            </w:r>
            <w:proofErr w:type="gramEnd"/>
            <w:r w:rsidRPr="004D4083">
              <w:rPr>
                <w:rFonts w:ascii="宋体" w:eastAsia="宋体" w:hAnsi="宋体" w:cs="宋体" w:hint="eastAsia"/>
                <w:kern w:val="0"/>
                <w:sz w:val="24"/>
              </w:rPr>
              <w:t>运离地块并根据城市管理相关规定运至指定场地弃置，直至可通行。</w:t>
            </w:r>
          </w:p>
        </w:tc>
        <w:tc>
          <w:tcPr>
            <w:tcW w:w="517" w:type="pct"/>
            <w:tcBorders>
              <w:top w:val="nil"/>
              <w:left w:val="nil"/>
              <w:bottom w:val="single" w:sz="4" w:space="0" w:color="auto"/>
              <w:right w:val="single" w:sz="4" w:space="0" w:color="auto"/>
            </w:tcBorders>
            <w:vAlign w:val="center"/>
            <w:hideMark/>
          </w:tcPr>
          <w:p w14:paraId="4587AC24"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00E3B4C7"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3.35 </w:t>
            </w:r>
          </w:p>
        </w:tc>
      </w:tr>
      <w:tr w:rsidR="004D4083" w:rsidRPr="004D4083" w14:paraId="36E85B72" w14:textId="77777777" w:rsidTr="004D4083">
        <w:trPr>
          <w:trHeight w:val="882"/>
        </w:trPr>
        <w:tc>
          <w:tcPr>
            <w:tcW w:w="339" w:type="pct"/>
            <w:tcBorders>
              <w:top w:val="nil"/>
              <w:left w:val="single" w:sz="4" w:space="0" w:color="auto"/>
              <w:bottom w:val="single" w:sz="4" w:space="0" w:color="auto"/>
              <w:right w:val="single" w:sz="4" w:space="0" w:color="auto"/>
            </w:tcBorders>
            <w:vAlign w:val="center"/>
            <w:hideMark/>
          </w:tcPr>
          <w:p w14:paraId="6368E35A"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10</w:t>
            </w:r>
          </w:p>
        </w:tc>
        <w:tc>
          <w:tcPr>
            <w:tcW w:w="598" w:type="pct"/>
            <w:tcBorders>
              <w:top w:val="nil"/>
              <w:left w:val="nil"/>
              <w:bottom w:val="single" w:sz="4" w:space="0" w:color="auto"/>
              <w:right w:val="single" w:sz="4" w:space="0" w:color="auto"/>
            </w:tcBorders>
            <w:vAlign w:val="center"/>
            <w:hideMark/>
          </w:tcPr>
          <w:p w14:paraId="49E6D507"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机械除草</w:t>
            </w:r>
          </w:p>
        </w:tc>
        <w:tc>
          <w:tcPr>
            <w:tcW w:w="2717" w:type="pct"/>
            <w:gridSpan w:val="2"/>
            <w:tcBorders>
              <w:top w:val="single" w:sz="4" w:space="0" w:color="auto"/>
              <w:left w:val="nil"/>
              <w:bottom w:val="single" w:sz="4" w:space="0" w:color="auto"/>
              <w:right w:val="single" w:sz="4" w:space="0" w:color="auto"/>
            </w:tcBorders>
            <w:vAlign w:val="center"/>
            <w:hideMark/>
          </w:tcPr>
          <w:p w14:paraId="37874582"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使用机械快速清除地块内部和边缘</w:t>
            </w:r>
            <w:proofErr w:type="gramStart"/>
            <w:r w:rsidRPr="004D4083">
              <w:rPr>
                <w:rFonts w:ascii="宋体" w:eastAsia="宋体" w:hAnsi="宋体" w:cs="宋体" w:hint="eastAsia"/>
                <w:kern w:val="0"/>
                <w:sz w:val="24"/>
              </w:rPr>
              <w:t>绿植,</w:t>
            </w:r>
            <w:proofErr w:type="gramEnd"/>
            <w:r w:rsidRPr="004D4083">
              <w:rPr>
                <w:rFonts w:ascii="宋体" w:eastAsia="宋体" w:hAnsi="宋体" w:cs="宋体" w:hint="eastAsia"/>
                <w:kern w:val="0"/>
                <w:sz w:val="24"/>
              </w:rPr>
              <w:t>运离地块并根据城市管理相关规定运至指定场地弃置，平整地面直至可通行。</w:t>
            </w:r>
          </w:p>
        </w:tc>
        <w:tc>
          <w:tcPr>
            <w:tcW w:w="517" w:type="pct"/>
            <w:tcBorders>
              <w:top w:val="nil"/>
              <w:left w:val="nil"/>
              <w:bottom w:val="single" w:sz="4" w:space="0" w:color="auto"/>
              <w:right w:val="single" w:sz="4" w:space="0" w:color="auto"/>
            </w:tcBorders>
            <w:vAlign w:val="center"/>
            <w:hideMark/>
          </w:tcPr>
          <w:p w14:paraId="5B826F8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35FC9B8E"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1.49 </w:t>
            </w:r>
          </w:p>
        </w:tc>
      </w:tr>
      <w:tr w:rsidR="004D4083" w:rsidRPr="004D4083" w14:paraId="09CD67A5" w14:textId="77777777" w:rsidTr="004D4083">
        <w:trPr>
          <w:trHeight w:val="780"/>
        </w:trPr>
        <w:tc>
          <w:tcPr>
            <w:tcW w:w="339" w:type="pct"/>
            <w:vMerge w:val="restart"/>
            <w:tcBorders>
              <w:top w:val="nil"/>
              <w:left w:val="single" w:sz="4" w:space="0" w:color="auto"/>
              <w:bottom w:val="single" w:sz="4" w:space="0" w:color="000000"/>
              <w:right w:val="single" w:sz="4" w:space="0" w:color="auto"/>
            </w:tcBorders>
            <w:vAlign w:val="center"/>
            <w:hideMark/>
          </w:tcPr>
          <w:p w14:paraId="0B08FB7C"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11</w:t>
            </w:r>
          </w:p>
        </w:tc>
        <w:tc>
          <w:tcPr>
            <w:tcW w:w="598" w:type="pct"/>
            <w:vMerge w:val="restart"/>
            <w:tcBorders>
              <w:top w:val="nil"/>
              <w:left w:val="single" w:sz="4" w:space="0" w:color="auto"/>
              <w:bottom w:val="single" w:sz="4" w:space="0" w:color="auto"/>
              <w:right w:val="single" w:sz="4" w:space="0" w:color="auto"/>
            </w:tcBorders>
            <w:vAlign w:val="center"/>
            <w:hideMark/>
          </w:tcPr>
          <w:p w14:paraId="72A47A1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树木砍伐</w:t>
            </w:r>
          </w:p>
        </w:tc>
        <w:tc>
          <w:tcPr>
            <w:tcW w:w="2717" w:type="pct"/>
            <w:gridSpan w:val="2"/>
            <w:tcBorders>
              <w:top w:val="single" w:sz="4" w:space="0" w:color="auto"/>
              <w:left w:val="nil"/>
              <w:bottom w:val="single" w:sz="4" w:space="0" w:color="auto"/>
              <w:right w:val="single" w:sz="4" w:space="0" w:color="auto"/>
            </w:tcBorders>
            <w:vAlign w:val="center"/>
            <w:hideMark/>
          </w:tcPr>
          <w:p w14:paraId="2AEBDCF5"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砍伐胸径＜15cm的乔木，切割、清理枝叶后运离地块,根据相关规定运至指定场地弃置。含处置费。</w:t>
            </w:r>
          </w:p>
        </w:tc>
        <w:tc>
          <w:tcPr>
            <w:tcW w:w="517" w:type="pct"/>
            <w:tcBorders>
              <w:top w:val="nil"/>
              <w:left w:val="nil"/>
              <w:bottom w:val="single" w:sz="4" w:space="0" w:color="auto"/>
              <w:right w:val="single" w:sz="4" w:space="0" w:color="auto"/>
            </w:tcBorders>
            <w:vAlign w:val="center"/>
            <w:hideMark/>
          </w:tcPr>
          <w:p w14:paraId="3588635E"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株</w:t>
            </w:r>
          </w:p>
        </w:tc>
        <w:tc>
          <w:tcPr>
            <w:tcW w:w="829" w:type="pct"/>
            <w:tcBorders>
              <w:top w:val="nil"/>
              <w:left w:val="nil"/>
              <w:bottom w:val="single" w:sz="4" w:space="0" w:color="auto"/>
              <w:right w:val="single" w:sz="4" w:space="0" w:color="auto"/>
            </w:tcBorders>
            <w:vAlign w:val="center"/>
            <w:hideMark/>
          </w:tcPr>
          <w:p w14:paraId="4C58E81C"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366.77 </w:t>
            </w:r>
          </w:p>
        </w:tc>
      </w:tr>
      <w:tr w:rsidR="004D4083" w:rsidRPr="004D4083" w14:paraId="75EE5501" w14:textId="77777777" w:rsidTr="004D4083">
        <w:trPr>
          <w:trHeight w:val="919"/>
        </w:trPr>
        <w:tc>
          <w:tcPr>
            <w:tcW w:w="339" w:type="pct"/>
            <w:vMerge/>
            <w:tcBorders>
              <w:top w:val="nil"/>
              <w:left w:val="single" w:sz="4" w:space="0" w:color="auto"/>
              <w:bottom w:val="single" w:sz="4" w:space="0" w:color="000000"/>
              <w:right w:val="single" w:sz="4" w:space="0" w:color="auto"/>
            </w:tcBorders>
            <w:vAlign w:val="center"/>
            <w:hideMark/>
          </w:tcPr>
          <w:p w14:paraId="280DE6E1" w14:textId="77777777" w:rsidR="004D4083" w:rsidRPr="004D4083" w:rsidRDefault="004D4083" w:rsidP="004D4083">
            <w:pPr>
              <w:widowControl/>
              <w:spacing w:line="360" w:lineRule="auto"/>
              <w:jc w:val="left"/>
              <w:rPr>
                <w:rFonts w:ascii="宋体" w:eastAsia="宋体" w:hAnsi="宋体" w:cs="宋体"/>
                <w:kern w:val="0"/>
                <w:sz w:val="24"/>
              </w:rPr>
            </w:pPr>
          </w:p>
        </w:tc>
        <w:tc>
          <w:tcPr>
            <w:tcW w:w="598" w:type="pct"/>
            <w:vMerge/>
            <w:tcBorders>
              <w:top w:val="nil"/>
              <w:left w:val="single" w:sz="4" w:space="0" w:color="auto"/>
              <w:bottom w:val="single" w:sz="4" w:space="0" w:color="auto"/>
              <w:right w:val="single" w:sz="4" w:space="0" w:color="auto"/>
            </w:tcBorders>
            <w:vAlign w:val="center"/>
            <w:hideMark/>
          </w:tcPr>
          <w:p w14:paraId="385F1995" w14:textId="77777777" w:rsidR="004D4083" w:rsidRPr="004D4083" w:rsidRDefault="004D4083" w:rsidP="004D4083">
            <w:pPr>
              <w:widowControl/>
              <w:spacing w:line="360" w:lineRule="auto"/>
              <w:jc w:val="left"/>
              <w:rPr>
                <w:rFonts w:ascii="宋体" w:eastAsia="宋体" w:hAnsi="宋体" w:cs="宋体"/>
                <w:kern w:val="0"/>
                <w:sz w:val="24"/>
              </w:rPr>
            </w:pPr>
          </w:p>
        </w:tc>
        <w:tc>
          <w:tcPr>
            <w:tcW w:w="2717" w:type="pct"/>
            <w:gridSpan w:val="2"/>
            <w:tcBorders>
              <w:top w:val="single" w:sz="4" w:space="0" w:color="auto"/>
              <w:left w:val="nil"/>
              <w:bottom w:val="single" w:sz="4" w:space="0" w:color="auto"/>
              <w:right w:val="single" w:sz="4" w:space="0" w:color="auto"/>
            </w:tcBorders>
            <w:vAlign w:val="center"/>
            <w:hideMark/>
          </w:tcPr>
          <w:p w14:paraId="33654CC9"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砍伐胸径≥15cm的乔木，切割、清理枝叶后运离地块,根据相关规定运至指定场地弃置。含处置费。</w:t>
            </w:r>
          </w:p>
        </w:tc>
        <w:tc>
          <w:tcPr>
            <w:tcW w:w="517" w:type="pct"/>
            <w:tcBorders>
              <w:top w:val="nil"/>
              <w:left w:val="nil"/>
              <w:bottom w:val="single" w:sz="4" w:space="0" w:color="auto"/>
              <w:right w:val="single" w:sz="4" w:space="0" w:color="auto"/>
            </w:tcBorders>
            <w:vAlign w:val="center"/>
            <w:hideMark/>
          </w:tcPr>
          <w:p w14:paraId="503F84D3"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株</w:t>
            </w:r>
          </w:p>
        </w:tc>
        <w:tc>
          <w:tcPr>
            <w:tcW w:w="829" w:type="pct"/>
            <w:tcBorders>
              <w:top w:val="nil"/>
              <w:left w:val="nil"/>
              <w:bottom w:val="single" w:sz="4" w:space="0" w:color="auto"/>
              <w:right w:val="single" w:sz="4" w:space="0" w:color="auto"/>
            </w:tcBorders>
            <w:vAlign w:val="center"/>
            <w:hideMark/>
          </w:tcPr>
          <w:p w14:paraId="2FD76945"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648.70 </w:t>
            </w:r>
          </w:p>
        </w:tc>
      </w:tr>
      <w:tr w:rsidR="004D4083" w:rsidRPr="004D4083" w14:paraId="1FB698CA" w14:textId="77777777" w:rsidTr="004D4083">
        <w:trPr>
          <w:trHeight w:val="679"/>
        </w:trPr>
        <w:tc>
          <w:tcPr>
            <w:tcW w:w="339" w:type="pct"/>
            <w:tcBorders>
              <w:top w:val="nil"/>
              <w:left w:val="single" w:sz="4" w:space="0" w:color="auto"/>
              <w:bottom w:val="single" w:sz="4" w:space="0" w:color="auto"/>
              <w:right w:val="single" w:sz="4" w:space="0" w:color="auto"/>
            </w:tcBorders>
            <w:vAlign w:val="center"/>
            <w:hideMark/>
          </w:tcPr>
          <w:p w14:paraId="533FF88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12</w:t>
            </w:r>
          </w:p>
        </w:tc>
        <w:tc>
          <w:tcPr>
            <w:tcW w:w="598" w:type="pct"/>
            <w:tcBorders>
              <w:top w:val="nil"/>
              <w:left w:val="nil"/>
              <w:bottom w:val="single" w:sz="4" w:space="0" w:color="auto"/>
              <w:right w:val="single" w:sz="4" w:space="0" w:color="auto"/>
            </w:tcBorders>
            <w:vAlign w:val="center"/>
            <w:hideMark/>
          </w:tcPr>
          <w:p w14:paraId="582D517E"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撒播草籽</w:t>
            </w:r>
          </w:p>
        </w:tc>
        <w:tc>
          <w:tcPr>
            <w:tcW w:w="2717" w:type="pct"/>
            <w:gridSpan w:val="2"/>
            <w:tcBorders>
              <w:top w:val="single" w:sz="4" w:space="0" w:color="auto"/>
              <w:left w:val="nil"/>
              <w:bottom w:val="single" w:sz="4" w:space="0" w:color="auto"/>
              <w:right w:val="single" w:sz="4" w:space="0" w:color="auto"/>
            </w:tcBorders>
            <w:vAlign w:val="center"/>
            <w:hideMark/>
          </w:tcPr>
          <w:p w14:paraId="5D9C2670"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对于表土裸露的、且表土不适合种植的地块，先处理种植土，再撒播草籽，起到</w:t>
            </w:r>
            <w:proofErr w:type="gramStart"/>
            <w:r w:rsidRPr="004D4083">
              <w:rPr>
                <w:rFonts w:ascii="宋体" w:eastAsia="宋体" w:hAnsi="宋体" w:cs="宋体" w:hint="eastAsia"/>
                <w:kern w:val="0"/>
                <w:sz w:val="24"/>
              </w:rPr>
              <w:t>复绿效果</w:t>
            </w:r>
            <w:proofErr w:type="gramEnd"/>
          </w:p>
        </w:tc>
        <w:tc>
          <w:tcPr>
            <w:tcW w:w="517" w:type="pct"/>
            <w:tcBorders>
              <w:top w:val="nil"/>
              <w:left w:val="nil"/>
              <w:bottom w:val="single" w:sz="4" w:space="0" w:color="auto"/>
              <w:right w:val="single" w:sz="4" w:space="0" w:color="auto"/>
            </w:tcBorders>
            <w:vAlign w:val="center"/>
            <w:hideMark/>
          </w:tcPr>
          <w:p w14:paraId="4A7B8475"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7F955A50"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28.69 </w:t>
            </w:r>
          </w:p>
        </w:tc>
      </w:tr>
      <w:tr w:rsidR="004D4083" w:rsidRPr="004D4083" w14:paraId="6BC0E458" w14:textId="77777777" w:rsidTr="004D4083">
        <w:trPr>
          <w:trHeight w:val="702"/>
        </w:trPr>
        <w:tc>
          <w:tcPr>
            <w:tcW w:w="339" w:type="pct"/>
            <w:tcBorders>
              <w:top w:val="nil"/>
              <w:left w:val="single" w:sz="4" w:space="0" w:color="auto"/>
              <w:bottom w:val="single" w:sz="4" w:space="0" w:color="auto"/>
              <w:right w:val="single" w:sz="4" w:space="0" w:color="auto"/>
            </w:tcBorders>
            <w:vAlign w:val="center"/>
            <w:hideMark/>
          </w:tcPr>
          <w:p w14:paraId="3B103C40"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13</w:t>
            </w:r>
          </w:p>
        </w:tc>
        <w:tc>
          <w:tcPr>
            <w:tcW w:w="598" w:type="pct"/>
            <w:tcBorders>
              <w:top w:val="nil"/>
              <w:left w:val="nil"/>
              <w:bottom w:val="single" w:sz="4" w:space="0" w:color="auto"/>
              <w:right w:val="single" w:sz="4" w:space="0" w:color="auto"/>
            </w:tcBorders>
            <w:vAlign w:val="center"/>
            <w:hideMark/>
          </w:tcPr>
          <w:p w14:paraId="78E425EF"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扬尘控制</w:t>
            </w:r>
          </w:p>
        </w:tc>
        <w:tc>
          <w:tcPr>
            <w:tcW w:w="2717" w:type="pct"/>
            <w:gridSpan w:val="2"/>
            <w:tcBorders>
              <w:top w:val="single" w:sz="4" w:space="0" w:color="auto"/>
              <w:left w:val="nil"/>
              <w:bottom w:val="single" w:sz="4" w:space="0" w:color="auto"/>
              <w:right w:val="single" w:sz="4" w:space="0" w:color="auto"/>
            </w:tcBorders>
            <w:vAlign w:val="center"/>
            <w:hideMark/>
          </w:tcPr>
          <w:p w14:paraId="639034FD"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对地块内土壤裸露区域进行遮盖处理,</w:t>
            </w:r>
            <w:proofErr w:type="gramStart"/>
            <w:r w:rsidRPr="004D4083">
              <w:rPr>
                <w:rFonts w:ascii="宋体" w:eastAsia="宋体" w:hAnsi="宋体" w:cs="宋体" w:hint="eastAsia"/>
                <w:kern w:val="0"/>
                <w:sz w:val="24"/>
              </w:rPr>
              <w:t>含相关</w:t>
            </w:r>
            <w:proofErr w:type="gramEnd"/>
            <w:r w:rsidRPr="004D4083">
              <w:rPr>
                <w:rFonts w:ascii="宋体" w:eastAsia="宋体" w:hAnsi="宋体" w:cs="宋体" w:hint="eastAsia"/>
                <w:kern w:val="0"/>
                <w:sz w:val="24"/>
              </w:rPr>
              <w:t>防尘网洒水等材料。</w:t>
            </w:r>
          </w:p>
        </w:tc>
        <w:tc>
          <w:tcPr>
            <w:tcW w:w="517" w:type="pct"/>
            <w:tcBorders>
              <w:top w:val="nil"/>
              <w:left w:val="nil"/>
              <w:bottom w:val="single" w:sz="4" w:space="0" w:color="auto"/>
              <w:right w:val="single" w:sz="4" w:space="0" w:color="auto"/>
            </w:tcBorders>
            <w:vAlign w:val="center"/>
            <w:hideMark/>
          </w:tcPr>
          <w:p w14:paraId="2E4DAECB"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75377643"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4.22 </w:t>
            </w:r>
          </w:p>
        </w:tc>
      </w:tr>
      <w:tr w:rsidR="004D4083" w:rsidRPr="004D4083" w14:paraId="41DB933A" w14:textId="77777777" w:rsidTr="004D4083">
        <w:trPr>
          <w:trHeight w:val="660"/>
        </w:trPr>
        <w:tc>
          <w:tcPr>
            <w:tcW w:w="339" w:type="pct"/>
            <w:tcBorders>
              <w:top w:val="nil"/>
              <w:left w:val="single" w:sz="4" w:space="0" w:color="auto"/>
              <w:bottom w:val="single" w:sz="4" w:space="0" w:color="auto"/>
              <w:right w:val="single" w:sz="4" w:space="0" w:color="auto"/>
            </w:tcBorders>
            <w:vAlign w:val="center"/>
            <w:hideMark/>
          </w:tcPr>
          <w:p w14:paraId="6204F57C"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14</w:t>
            </w:r>
          </w:p>
        </w:tc>
        <w:tc>
          <w:tcPr>
            <w:tcW w:w="598" w:type="pct"/>
            <w:tcBorders>
              <w:top w:val="nil"/>
              <w:left w:val="nil"/>
              <w:bottom w:val="single" w:sz="4" w:space="0" w:color="auto"/>
              <w:right w:val="single" w:sz="4" w:space="0" w:color="auto"/>
            </w:tcBorders>
            <w:vAlign w:val="center"/>
            <w:hideMark/>
          </w:tcPr>
          <w:p w14:paraId="734A7714"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清空积水</w:t>
            </w:r>
          </w:p>
        </w:tc>
        <w:tc>
          <w:tcPr>
            <w:tcW w:w="2717" w:type="pct"/>
            <w:gridSpan w:val="2"/>
            <w:tcBorders>
              <w:top w:val="single" w:sz="4" w:space="0" w:color="auto"/>
              <w:left w:val="nil"/>
              <w:bottom w:val="single" w:sz="4" w:space="0" w:color="auto"/>
              <w:right w:val="single" w:sz="4" w:space="0" w:color="auto"/>
            </w:tcBorders>
            <w:vAlign w:val="center"/>
            <w:hideMark/>
          </w:tcPr>
          <w:p w14:paraId="0AC71CBA"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清空水坑、鱼塘、池塘等积水，整平洼地，按容积计算。</w:t>
            </w:r>
          </w:p>
        </w:tc>
        <w:tc>
          <w:tcPr>
            <w:tcW w:w="517" w:type="pct"/>
            <w:tcBorders>
              <w:top w:val="nil"/>
              <w:left w:val="nil"/>
              <w:bottom w:val="single" w:sz="4" w:space="0" w:color="auto"/>
              <w:right w:val="single" w:sz="4" w:space="0" w:color="auto"/>
            </w:tcBorders>
            <w:vAlign w:val="center"/>
            <w:hideMark/>
          </w:tcPr>
          <w:p w14:paraId="13A5B2C3"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立方米</w:t>
            </w:r>
          </w:p>
        </w:tc>
        <w:tc>
          <w:tcPr>
            <w:tcW w:w="829" w:type="pct"/>
            <w:tcBorders>
              <w:top w:val="nil"/>
              <w:left w:val="nil"/>
              <w:bottom w:val="single" w:sz="4" w:space="0" w:color="auto"/>
              <w:right w:val="single" w:sz="4" w:space="0" w:color="auto"/>
            </w:tcBorders>
            <w:vAlign w:val="center"/>
            <w:hideMark/>
          </w:tcPr>
          <w:p w14:paraId="56C7963D"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6.12 </w:t>
            </w:r>
          </w:p>
        </w:tc>
      </w:tr>
      <w:tr w:rsidR="004D4083" w:rsidRPr="004D4083" w14:paraId="6622D420" w14:textId="77777777" w:rsidTr="004D4083">
        <w:trPr>
          <w:trHeight w:val="600"/>
        </w:trPr>
        <w:tc>
          <w:tcPr>
            <w:tcW w:w="339" w:type="pct"/>
            <w:tcBorders>
              <w:top w:val="nil"/>
              <w:left w:val="single" w:sz="4" w:space="0" w:color="auto"/>
              <w:bottom w:val="single" w:sz="4" w:space="0" w:color="auto"/>
              <w:right w:val="single" w:sz="4" w:space="0" w:color="auto"/>
            </w:tcBorders>
            <w:vAlign w:val="center"/>
            <w:hideMark/>
          </w:tcPr>
          <w:p w14:paraId="1FABF595"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15</w:t>
            </w:r>
          </w:p>
        </w:tc>
        <w:tc>
          <w:tcPr>
            <w:tcW w:w="598" w:type="pct"/>
            <w:tcBorders>
              <w:top w:val="nil"/>
              <w:left w:val="nil"/>
              <w:bottom w:val="single" w:sz="4" w:space="0" w:color="auto"/>
              <w:right w:val="single" w:sz="4" w:space="0" w:color="auto"/>
            </w:tcBorders>
            <w:vAlign w:val="center"/>
            <w:hideMark/>
          </w:tcPr>
          <w:p w14:paraId="22F922FB"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除四害</w:t>
            </w:r>
          </w:p>
        </w:tc>
        <w:tc>
          <w:tcPr>
            <w:tcW w:w="2717" w:type="pct"/>
            <w:gridSpan w:val="2"/>
            <w:tcBorders>
              <w:top w:val="single" w:sz="4" w:space="0" w:color="auto"/>
              <w:left w:val="nil"/>
              <w:bottom w:val="single" w:sz="4" w:space="0" w:color="auto"/>
              <w:right w:val="single" w:sz="4" w:space="0" w:color="auto"/>
            </w:tcBorders>
            <w:vAlign w:val="center"/>
            <w:hideMark/>
          </w:tcPr>
          <w:p w14:paraId="4ABFC675"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对地块内部和边缘开展除四害消杀工作,含药物、设备等。</w:t>
            </w:r>
          </w:p>
        </w:tc>
        <w:tc>
          <w:tcPr>
            <w:tcW w:w="517" w:type="pct"/>
            <w:tcBorders>
              <w:top w:val="nil"/>
              <w:left w:val="nil"/>
              <w:bottom w:val="single" w:sz="4" w:space="0" w:color="auto"/>
              <w:right w:val="single" w:sz="4" w:space="0" w:color="auto"/>
            </w:tcBorders>
            <w:vAlign w:val="center"/>
            <w:hideMark/>
          </w:tcPr>
          <w:p w14:paraId="3A2D5716"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7872C600"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0.79 </w:t>
            </w:r>
          </w:p>
        </w:tc>
      </w:tr>
      <w:tr w:rsidR="004D4083" w:rsidRPr="004D4083" w14:paraId="2FFB987B" w14:textId="77777777" w:rsidTr="004D4083">
        <w:trPr>
          <w:trHeight w:val="799"/>
        </w:trPr>
        <w:tc>
          <w:tcPr>
            <w:tcW w:w="339" w:type="pct"/>
            <w:tcBorders>
              <w:top w:val="nil"/>
              <w:left w:val="single" w:sz="4" w:space="0" w:color="auto"/>
              <w:bottom w:val="single" w:sz="4" w:space="0" w:color="auto"/>
              <w:right w:val="single" w:sz="4" w:space="0" w:color="auto"/>
            </w:tcBorders>
            <w:vAlign w:val="center"/>
            <w:hideMark/>
          </w:tcPr>
          <w:p w14:paraId="6130BFA4"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16</w:t>
            </w:r>
          </w:p>
        </w:tc>
        <w:tc>
          <w:tcPr>
            <w:tcW w:w="598" w:type="pct"/>
            <w:tcBorders>
              <w:top w:val="nil"/>
              <w:left w:val="nil"/>
              <w:bottom w:val="single" w:sz="4" w:space="0" w:color="auto"/>
              <w:right w:val="single" w:sz="4" w:space="0" w:color="auto"/>
            </w:tcBorders>
            <w:vAlign w:val="center"/>
            <w:hideMark/>
          </w:tcPr>
          <w:p w14:paraId="2634E5A0"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地块标识牌</w:t>
            </w:r>
          </w:p>
        </w:tc>
        <w:tc>
          <w:tcPr>
            <w:tcW w:w="2717" w:type="pct"/>
            <w:gridSpan w:val="2"/>
            <w:tcBorders>
              <w:top w:val="single" w:sz="4" w:space="0" w:color="auto"/>
              <w:left w:val="nil"/>
              <w:bottom w:val="single" w:sz="4" w:space="0" w:color="auto"/>
              <w:right w:val="single" w:sz="4" w:space="0" w:color="auto"/>
            </w:tcBorders>
            <w:vAlign w:val="center"/>
            <w:hideMark/>
          </w:tcPr>
          <w:p w14:paraId="5659E5F1"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对地块情况进行标识,对卫生、安全等管理要求设置提示牌,材料标准按交通标志。</w:t>
            </w:r>
          </w:p>
        </w:tc>
        <w:tc>
          <w:tcPr>
            <w:tcW w:w="517" w:type="pct"/>
            <w:tcBorders>
              <w:top w:val="nil"/>
              <w:left w:val="nil"/>
              <w:bottom w:val="single" w:sz="4" w:space="0" w:color="auto"/>
              <w:right w:val="single" w:sz="4" w:space="0" w:color="auto"/>
            </w:tcBorders>
            <w:vAlign w:val="center"/>
            <w:hideMark/>
          </w:tcPr>
          <w:p w14:paraId="51D73EF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49968F13"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516.47 </w:t>
            </w:r>
          </w:p>
        </w:tc>
      </w:tr>
      <w:tr w:rsidR="004D4083" w:rsidRPr="004D4083" w14:paraId="2AB4265B" w14:textId="77777777" w:rsidTr="004D4083">
        <w:trPr>
          <w:trHeight w:val="1020"/>
        </w:trPr>
        <w:tc>
          <w:tcPr>
            <w:tcW w:w="339" w:type="pct"/>
            <w:vMerge w:val="restart"/>
            <w:tcBorders>
              <w:top w:val="nil"/>
              <w:left w:val="single" w:sz="4" w:space="0" w:color="auto"/>
              <w:bottom w:val="single" w:sz="4" w:space="0" w:color="000000"/>
              <w:right w:val="single" w:sz="4" w:space="0" w:color="auto"/>
            </w:tcBorders>
            <w:vAlign w:val="center"/>
            <w:hideMark/>
          </w:tcPr>
          <w:p w14:paraId="62157296"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17</w:t>
            </w:r>
          </w:p>
        </w:tc>
        <w:tc>
          <w:tcPr>
            <w:tcW w:w="598" w:type="pct"/>
            <w:vMerge w:val="restart"/>
            <w:tcBorders>
              <w:top w:val="nil"/>
              <w:left w:val="single" w:sz="4" w:space="0" w:color="auto"/>
              <w:bottom w:val="single" w:sz="4" w:space="0" w:color="auto"/>
              <w:right w:val="single" w:sz="4" w:space="0" w:color="auto"/>
            </w:tcBorders>
            <w:vAlign w:val="center"/>
            <w:hideMark/>
          </w:tcPr>
          <w:p w14:paraId="6BD9BE67"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地块宣传海报</w:t>
            </w:r>
          </w:p>
        </w:tc>
        <w:tc>
          <w:tcPr>
            <w:tcW w:w="2717" w:type="pct"/>
            <w:gridSpan w:val="2"/>
            <w:tcBorders>
              <w:top w:val="single" w:sz="4" w:space="0" w:color="auto"/>
              <w:left w:val="nil"/>
              <w:bottom w:val="single" w:sz="4" w:space="0" w:color="auto"/>
              <w:right w:val="single" w:sz="4" w:space="0" w:color="auto"/>
            </w:tcBorders>
            <w:vAlign w:val="center"/>
            <w:hideMark/>
          </w:tcPr>
          <w:p w14:paraId="1B6A746D"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根据需要在地块周边制定位置设置宣传海报,彩色、大幅面、图案清晰、防水防晒,不褪色,保用6个月以上。含安装材料。</w:t>
            </w:r>
          </w:p>
        </w:tc>
        <w:tc>
          <w:tcPr>
            <w:tcW w:w="517" w:type="pct"/>
            <w:tcBorders>
              <w:top w:val="nil"/>
              <w:left w:val="nil"/>
              <w:bottom w:val="single" w:sz="4" w:space="0" w:color="auto"/>
              <w:right w:val="single" w:sz="4" w:space="0" w:color="auto"/>
            </w:tcBorders>
            <w:vAlign w:val="center"/>
            <w:hideMark/>
          </w:tcPr>
          <w:p w14:paraId="5E012894"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6D7E8B55"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146.26 </w:t>
            </w:r>
          </w:p>
        </w:tc>
      </w:tr>
      <w:tr w:rsidR="004D4083" w:rsidRPr="004D4083" w14:paraId="160B8C6A" w14:textId="77777777" w:rsidTr="004D4083">
        <w:trPr>
          <w:trHeight w:val="1242"/>
        </w:trPr>
        <w:tc>
          <w:tcPr>
            <w:tcW w:w="339" w:type="pct"/>
            <w:vMerge/>
            <w:tcBorders>
              <w:top w:val="nil"/>
              <w:left w:val="single" w:sz="4" w:space="0" w:color="auto"/>
              <w:bottom w:val="single" w:sz="4" w:space="0" w:color="000000"/>
              <w:right w:val="single" w:sz="4" w:space="0" w:color="auto"/>
            </w:tcBorders>
            <w:vAlign w:val="center"/>
            <w:hideMark/>
          </w:tcPr>
          <w:p w14:paraId="5C3028E1" w14:textId="77777777" w:rsidR="004D4083" w:rsidRPr="004D4083" w:rsidRDefault="004D4083" w:rsidP="004D4083">
            <w:pPr>
              <w:widowControl/>
              <w:spacing w:line="360" w:lineRule="auto"/>
              <w:jc w:val="left"/>
              <w:rPr>
                <w:rFonts w:ascii="宋体" w:eastAsia="宋体" w:hAnsi="宋体" w:cs="宋体"/>
                <w:kern w:val="0"/>
                <w:sz w:val="24"/>
              </w:rPr>
            </w:pPr>
          </w:p>
        </w:tc>
        <w:tc>
          <w:tcPr>
            <w:tcW w:w="598" w:type="pct"/>
            <w:vMerge/>
            <w:tcBorders>
              <w:top w:val="nil"/>
              <w:left w:val="single" w:sz="4" w:space="0" w:color="auto"/>
              <w:bottom w:val="single" w:sz="4" w:space="0" w:color="auto"/>
              <w:right w:val="single" w:sz="4" w:space="0" w:color="auto"/>
            </w:tcBorders>
            <w:vAlign w:val="center"/>
            <w:hideMark/>
          </w:tcPr>
          <w:p w14:paraId="3E9D25F1" w14:textId="77777777" w:rsidR="004D4083" w:rsidRPr="004D4083" w:rsidRDefault="004D4083" w:rsidP="004D4083">
            <w:pPr>
              <w:widowControl/>
              <w:spacing w:line="360" w:lineRule="auto"/>
              <w:jc w:val="left"/>
              <w:rPr>
                <w:rFonts w:ascii="宋体" w:eastAsia="宋体" w:hAnsi="宋体" w:cs="宋体"/>
                <w:kern w:val="0"/>
                <w:sz w:val="24"/>
              </w:rPr>
            </w:pPr>
          </w:p>
        </w:tc>
        <w:tc>
          <w:tcPr>
            <w:tcW w:w="2717" w:type="pct"/>
            <w:gridSpan w:val="2"/>
            <w:tcBorders>
              <w:top w:val="single" w:sz="4" w:space="0" w:color="auto"/>
              <w:left w:val="nil"/>
              <w:bottom w:val="single" w:sz="4" w:space="0" w:color="auto"/>
              <w:right w:val="single" w:sz="4" w:space="0" w:color="auto"/>
            </w:tcBorders>
            <w:vAlign w:val="center"/>
            <w:hideMark/>
          </w:tcPr>
          <w:p w14:paraId="2DC55F1A"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按照建设施工围蔽标准，地块围蔽暂定参照《广州市建设工程绿色施工围蔽指导图集》（V2.0版）的仿真</w:t>
            </w:r>
            <w:proofErr w:type="gramStart"/>
            <w:r w:rsidRPr="004D4083">
              <w:rPr>
                <w:rFonts w:ascii="宋体" w:eastAsia="宋体" w:hAnsi="宋体" w:cs="宋体" w:hint="eastAsia"/>
                <w:kern w:val="0"/>
                <w:sz w:val="24"/>
              </w:rPr>
              <w:t>绿植围蔽及</w:t>
            </w:r>
            <w:proofErr w:type="gramEnd"/>
            <w:r w:rsidRPr="004D4083">
              <w:rPr>
                <w:rFonts w:ascii="宋体" w:eastAsia="宋体" w:hAnsi="宋体" w:cs="宋体" w:hint="eastAsia"/>
                <w:kern w:val="0"/>
                <w:sz w:val="24"/>
              </w:rPr>
              <w:t>公益选宣传广告字样，保用6个月以上</w:t>
            </w:r>
          </w:p>
        </w:tc>
        <w:tc>
          <w:tcPr>
            <w:tcW w:w="517" w:type="pct"/>
            <w:tcBorders>
              <w:top w:val="nil"/>
              <w:left w:val="nil"/>
              <w:bottom w:val="single" w:sz="4" w:space="0" w:color="auto"/>
              <w:right w:val="single" w:sz="4" w:space="0" w:color="auto"/>
            </w:tcBorders>
            <w:vAlign w:val="center"/>
            <w:hideMark/>
          </w:tcPr>
          <w:p w14:paraId="07DE260A"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70660CF2"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262.35 </w:t>
            </w:r>
          </w:p>
        </w:tc>
      </w:tr>
      <w:tr w:rsidR="004D4083" w:rsidRPr="004D4083" w14:paraId="58990C71" w14:textId="77777777" w:rsidTr="004D4083">
        <w:trPr>
          <w:trHeight w:val="1242"/>
        </w:trPr>
        <w:tc>
          <w:tcPr>
            <w:tcW w:w="339" w:type="pct"/>
            <w:tcBorders>
              <w:top w:val="nil"/>
              <w:left w:val="single" w:sz="4" w:space="0" w:color="auto"/>
              <w:bottom w:val="single" w:sz="4" w:space="0" w:color="auto"/>
              <w:right w:val="single" w:sz="4" w:space="0" w:color="auto"/>
            </w:tcBorders>
            <w:vAlign w:val="center"/>
            <w:hideMark/>
          </w:tcPr>
          <w:p w14:paraId="54167295"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18</w:t>
            </w:r>
          </w:p>
        </w:tc>
        <w:tc>
          <w:tcPr>
            <w:tcW w:w="598" w:type="pct"/>
            <w:tcBorders>
              <w:top w:val="nil"/>
              <w:left w:val="nil"/>
              <w:bottom w:val="single" w:sz="4" w:space="0" w:color="auto"/>
              <w:right w:val="single" w:sz="4" w:space="0" w:color="auto"/>
            </w:tcBorders>
            <w:vAlign w:val="center"/>
            <w:hideMark/>
          </w:tcPr>
          <w:p w14:paraId="7C36A12E"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开辟巡逻道路</w:t>
            </w:r>
          </w:p>
        </w:tc>
        <w:tc>
          <w:tcPr>
            <w:tcW w:w="2717" w:type="pct"/>
            <w:gridSpan w:val="2"/>
            <w:tcBorders>
              <w:top w:val="single" w:sz="4" w:space="0" w:color="auto"/>
              <w:left w:val="nil"/>
              <w:bottom w:val="single" w:sz="4" w:space="0" w:color="auto"/>
              <w:right w:val="single" w:sz="4" w:space="0" w:color="auto"/>
            </w:tcBorders>
            <w:vAlign w:val="center"/>
            <w:hideMark/>
          </w:tcPr>
          <w:p w14:paraId="56D266DC"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在地块内部开辟检查、巡查的巡逻的道路，包括开挖、整平铺筑碎石土，巡逻道路厚度30cm。</w:t>
            </w:r>
          </w:p>
        </w:tc>
        <w:tc>
          <w:tcPr>
            <w:tcW w:w="517" w:type="pct"/>
            <w:tcBorders>
              <w:top w:val="nil"/>
              <w:left w:val="nil"/>
              <w:bottom w:val="single" w:sz="4" w:space="0" w:color="auto"/>
              <w:right w:val="single" w:sz="4" w:space="0" w:color="auto"/>
            </w:tcBorders>
            <w:vAlign w:val="center"/>
            <w:hideMark/>
          </w:tcPr>
          <w:p w14:paraId="60C0D738"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610D5C4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133.31 </w:t>
            </w:r>
          </w:p>
        </w:tc>
      </w:tr>
      <w:tr w:rsidR="004D4083" w:rsidRPr="004D4083" w14:paraId="51076D48" w14:textId="77777777" w:rsidTr="004D4083">
        <w:trPr>
          <w:trHeight w:val="1242"/>
        </w:trPr>
        <w:tc>
          <w:tcPr>
            <w:tcW w:w="339" w:type="pct"/>
            <w:tcBorders>
              <w:top w:val="nil"/>
              <w:left w:val="single" w:sz="4" w:space="0" w:color="auto"/>
              <w:bottom w:val="single" w:sz="4" w:space="0" w:color="auto"/>
              <w:right w:val="single" w:sz="4" w:space="0" w:color="auto"/>
            </w:tcBorders>
            <w:vAlign w:val="center"/>
            <w:hideMark/>
          </w:tcPr>
          <w:p w14:paraId="027F3B4C"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19</w:t>
            </w:r>
          </w:p>
        </w:tc>
        <w:tc>
          <w:tcPr>
            <w:tcW w:w="598" w:type="pct"/>
            <w:tcBorders>
              <w:top w:val="nil"/>
              <w:left w:val="nil"/>
              <w:bottom w:val="single" w:sz="4" w:space="0" w:color="auto"/>
              <w:right w:val="single" w:sz="4" w:space="0" w:color="auto"/>
            </w:tcBorders>
            <w:vAlign w:val="center"/>
            <w:hideMark/>
          </w:tcPr>
          <w:p w14:paraId="661289D4"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土地平整</w:t>
            </w:r>
          </w:p>
        </w:tc>
        <w:tc>
          <w:tcPr>
            <w:tcW w:w="2717" w:type="pct"/>
            <w:gridSpan w:val="2"/>
            <w:tcBorders>
              <w:top w:val="single" w:sz="4" w:space="0" w:color="auto"/>
              <w:left w:val="nil"/>
              <w:bottom w:val="single" w:sz="4" w:space="0" w:color="auto"/>
              <w:right w:val="single" w:sz="4" w:space="0" w:color="000000"/>
            </w:tcBorders>
            <w:vAlign w:val="center"/>
            <w:hideMark/>
          </w:tcPr>
          <w:p w14:paraId="703E8533"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坑塘、土沟以及废弃排水沟等进行回填平整。</w:t>
            </w:r>
          </w:p>
        </w:tc>
        <w:tc>
          <w:tcPr>
            <w:tcW w:w="517" w:type="pct"/>
            <w:tcBorders>
              <w:top w:val="nil"/>
              <w:left w:val="nil"/>
              <w:bottom w:val="single" w:sz="4" w:space="0" w:color="auto"/>
              <w:right w:val="single" w:sz="4" w:space="0" w:color="auto"/>
            </w:tcBorders>
            <w:vAlign w:val="center"/>
            <w:hideMark/>
          </w:tcPr>
          <w:p w14:paraId="2988D7AF"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平方米</w:t>
            </w:r>
          </w:p>
        </w:tc>
        <w:tc>
          <w:tcPr>
            <w:tcW w:w="829" w:type="pct"/>
            <w:tcBorders>
              <w:top w:val="nil"/>
              <w:left w:val="nil"/>
              <w:bottom w:val="single" w:sz="4" w:space="0" w:color="auto"/>
              <w:right w:val="single" w:sz="4" w:space="0" w:color="auto"/>
            </w:tcBorders>
            <w:vAlign w:val="center"/>
            <w:hideMark/>
          </w:tcPr>
          <w:p w14:paraId="01C72C9E"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25.00 </w:t>
            </w:r>
          </w:p>
        </w:tc>
      </w:tr>
      <w:tr w:rsidR="004D4083" w:rsidRPr="004D4083" w14:paraId="0F03C23B" w14:textId="77777777" w:rsidTr="004D4083">
        <w:trPr>
          <w:trHeight w:val="1242"/>
        </w:trPr>
        <w:tc>
          <w:tcPr>
            <w:tcW w:w="339" w:type="pct"/>
            <w:tcBorders>
              <w:top w:val="nil"/>
              <w:left w:val="single" w:sz="4" w:space="0" w:color="auto"/>
              <w:bottom w:val="single" w:sz="4" w:space="0" w:color="auto"/>
              <w:right w:val="single" w:sz="4" w:space="0" w:color="auto"/>
            </w:tcBorders>
            <w:vAlign w:val="center"/>
            <w:hideMark/>
          </w:tcPr>
          <w:p w14:paraId="24F852BB"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20</w:t>
            </w:r>
          </w:p>
        </w:tc>
        <w:tc>
          <w:tcPr>
            <w:tcW w:w="598" w:type="pct"/>
            <w:tcBorders>
              <w:top w:val="nil"/>
              <w:left w:val="nil"/>
              <w:bottom w:val="single" w:sz="4" w:space="0" w:color="auto"/>
              <w:right w:val="single" w:sz="4" w:space="0" w:color="auto"/>
            </w:tcBorders>
            <w:vAlign w:val="center"/>
            <w:hideMark/>
          </w:tcPr>
          <w:p w14:paraId="658A85CE"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耕地恢复</w:t>
            </w:r>
          </w:p>
        </w:tc>
        <w:tc>
          <w:tcPr>
            <w:tcW w:w="2717" w:type="pct"/>
            <w:gridSpan w:val="2"/>
            <w:tcBorders>
              <w:top w:val="single" w:sz="4" w:space="0" w:color="auto"/>
              <w:left w:val="nil"/>
              <w:bottom w:val="single" w:sz="4" w:space="0" w:color="auto"/>
              <w:right w:val="single" w:sz="4" w:space="0" w:color="000000"/>
            </w:tcBorders>
            <w:vAlign w:val="center"/>
            <w:hideMark/>
          </w:tcPr>
          <w:p w14:paraId="0E3C20AE" w14:textId="77777777" w:rsidR="004D4083" w:rsidRPr="004D4083" w:rsidRDefault="004D4083" w:rsidP="004D4083">
            <w:pPr>
              <w:widowControl/>
              <w:spacing w:line="360" w:lineRule="auto"/>
              <w:jc w:val="left"/>
              <w:rPr>
                <w:rFonts w:ascii="宋体" w:eastAsia="宋体" w:hAnsi="宋体" w:cs="宋体"/>
                <w:kern w:val="0"/>
                <w:sz w:val="24"/>
              </w:rPr>
            </w:pPr>
            <w:r w:rsidRPr="004D4083">
              <w:rPr>
                <w:rFonts w:ascii="宋体" w:eastAsia="宋体" w:hAnsi="宋体" w:cs="宋体" w:hint="eastAsia"/>
                <w:kern w:val="0"/>
                <w:sz w:val="24"/>
              </w:rPr>
              <w:t>对土地进行清表、平整、客土、培肥、起垄及种植农作物。</w:t>
            </w:r>
          </w:p>
        </w:tc>
        <w:tc>
          <w:tcPr>
            <w:tcW w:w="517" w:type="pct"/>
            <w:tcBorders>
              <w:top w:val="nil"/>
              <w:left w:val="nil"/>
              <w:bottom w:val="single" w:sz="4" w:space="0" w:color="auto"/>
              <w:right w:val="single" w:sz="4" w:space="0" w:color="auto"/>
            </w:tcBorders>
            <w:vAlign w:val="center"/>
            <w:hideMark/>
          </w:tcPr>
          <w:p w14:paraId="33BE7BD1"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亩</w:t>
            </w:r>
          </w:p>
        </w:tc>
        <w:tc>
          <w:tcPr>
            <w:tcW w:w="829" w:type="pct"/>
            <w:tcBorders>
              <w:top w:val="nil"/>
              <w:left w:val="nil"/>
              <w:bottom w:val="single" w:sz="4" w:space="0" w:color="auto"/>
              <w:right w:val="single" w:sz="4" w:space="0" w:color="auto"/>
            </w:tcBorders>
            <w:vAlign w:val="center"/>
            <w:hideMark/>
          </w:tcPr>
          <w:p w14:paraId="2DA0DB24" w14:textId="77777777" w:rsidR="004D4083" w:rsidRPr="004D4083" w:rsidRDefault="004D4083" w:rsidP="004D4083">
            <w:pPr>
              <w:widowControl/>
              <w:spacing w:line="360" w:lineRule="auto"/>
              <w:jc w:val="center"/>
              <w:rPr>
                <w:rFonts w:ascii="宋体" w:eastAsia="宋体" w:hAnsi="宋体" w:cs="宋体"/>
                <w:kern w:val="0"/>
                <w:sz w:val="24"/>
              </w:rPr>
            </w:pPr>
            <w:r w:rsidRPr="004D4083">
              <w:rPr>
                <w:rFonts w:ascii="宋体" w:eastAsia="宋体" w:hAnsi="宋体" w:cs="宋体" w:hint="eastAsia"/>
                <w:kern w:val="0"/>
                <w:sz w:val="24"/>
              </w:rPr>
              <w:t xml:space="preserve">30,000.00 </w:t>
            </w:r>
          </w:p>
        </w:tc>
      </w:tr>
    </w:tbl>
    <w:p w14:paraId="43190FD0" w14:textId="77777777" w:rsidR="004D4083" w:rsidRPr="004D4083" w:rsidRDefault="004D4083" w:rsidP="004D4083">
      <w:pPr>
        <w:pStyle w:val="a0"/>
        <w:ind w:firstLineChars="0" w:firstLine="0"/>
      </w:pPr>
    </w:p>
    <w:p w14:paraId="393E26E9" w14:textId="77777777" w:rsidR="004D4083" w:rsidRPr="004D4083" w:rsidRDefault="004D4083" w:rsidP="004D4083">
      <w:pPr>
        <w:spacing w:beforeLines="25" w:before="78" w:afterLines="25" w:after="78" w:line="360" w:lineRule="auto"/>
        <w:rPr>
          <w:rFonts w:ascii="宋体" w:eastAsia="宋体" w:hAnsi="宋体"/>
          <w:b/>
          <w:bCs/>
          <w:sz w:val="24"/>
        </w:rPr>
      </w:pPr>
      <w:r w:rsidRPr="004D4083">
        <w:rPr>
          <w:rFonts w:ascii="宋体" w:eastAsia="宋体" w:hAnsi="宋体" w:hint="eastAsia"/>
          <w:b/>
          <w:bCs/>
          <w:sz w:val="24"/>
        </w:rPr>
        <w:t>三、投标人须有一套完整的管理规章制度，包括地块巡查管理制度、消防安全管理制度、安全生产管理制度、车辆设备管理制度等，其中：</w:t>
      </w:r>
    </w:p>
    <w:p w14:paraId="206787E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1.地块巡查管理制度须包含工作目标、工作要求、巡查机制、巡查流程图等内容；</w:t>
      </w:r>
    </w:p>
    <w:p w14:paraId="3ED622F4"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2.消防安全管理制度须包含消防安全责任制、消防安全教育及培训、防火检查及巡查、消防值班等内容；</w:t>
      </w:r>
    </w:p>
    <w:p w14:paraId="3807C9A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3.安全生产管理制度须包含安全生产例会、安全生产教育、安全生产检查、安全生产奖惩等内容；</w:t>
      </w:r>
    </w:p>
    <w:p w14:paraId="1DCFCB6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4.车辆设备管理制度须包含车辆管理、车辆使用、车辆保养等内容。</w:t>
      </w:r>
    </w:p>
    <w:p w14:paraId="47BC2AE7" w14:textId="77777777" w:rsidR="004D4083" w:rsidRPr="004D4083" w:rsidRDefault="004D4083" w:rsidP="004D4083">
      <w:pPr>
        <w:spacing w:beforeLines="25" w:before="78" w:afterLines="25" w:after="78" w:line="360" w:lineRule="auto"/>
        <w:rPr>
          <w:rFonts w:ascii="宋体" w:eastAsia="宋体" w:hAnsi="宋体"/>
          <w:b/>
          <w:bCs/>
          <w:sz w:val="24"/>
        </w:rPr>
      </w:pPr>
      <w:r w:rsidRPr="004D4083">
        <w:rPr>
          <w:rFonts w:ascii="宋体" w:eastAsia="宋体" w:hAnsi="宋体" w:hint="eastAsia"/>
          <w:b/>
          <w:bCs/>
          <w:sz w:val="24"/>
        </w:rPr>
        <w:t>四、人员配置要求</w:t>
      </w:r>
    </w:p>
    <w:p w14:paraId="18C6C7FF"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1.需配置项目负责人1名，地块巡查管理负责人1名、技术负责人1名，以上人员不能为同一人。同时配备足够满足服务于本项目的其他人员。</w:t>
      </w:r>
    </w:p>
    <w:p w14:paraId="1CF34094"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2.投标人须有一套人员培训及管理方案，包括人员培训方案、人员管理方案等，其中：</w:t>
      </w:r>
    </w:p>
    <w:p w14:paraId="3B01376C"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（1）人员培训方案须包含培训目标、培训方式、培训内容、培训计划等内容；</w:t>
      </w:r>
    </w:p>
    <w:p w14:paraId="38B7F2EA"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lastRenderedPageBreak/>
        <w:t>（2）人员管理方案须包含录用机制、考勤淘汰机制、奖惩规定、员工行为规范等内容。</w:t>
      </w:r>
    </w:p>
    <w:p w14:paraId="03EEDC32" w14:textId="77777777" w:rsidR="004D4083" w:rsidRPr="004D4083" w:rsidRDefault="004D4083" w:rsidP="004D4083">
      <w:pPr>
        <w:spacing w:beforeLines="25" w:before="78" w:afterLines="25" w:after="78" w:line="360" w:lineRule="auto"/>
        <w:rPr>
          <w:rFonts w:ascii="宋体" w:eastAsia="宋体" w:hAnsi="宋体"/>
          <w:b/>
          <w:bCs/>
          <w:sz w:val="24"/>
        </w:rPr>
      </w:pPr>
      <w:r w:rsidRPr="004D4083">
        <w:rPr>
          <w:rFonts w:ascii="宋体" w:eastAsia="宋体" w:hAnsi="宋体" w:hint="eastAsia"/>
          <w:b/>
          <w:bCs/>
          <w:sz w:val="24"/>
        </w:rPr>
        <w:t>五、验收要求</w:t>
      </w:r>
    </w:p>
    <w:p w14:paraId="7D820DD4"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合同履行完毕，中标人以工作任务单为单位编制验收材料（格式和要求参照工作方案）后向采购人提交验收申请，采购人于收到中标人验收申请后7日内组织履约验收，经采购人组织质量验收，地块巡查管理服务及地块配套服务质量验收合格的，采购人向中标人签发《服务验收报告》，不合格的，采购人及时向中标人提出服务质量异议和投诉；若由于采购</w:t>
      </w:r>
      <w:proofErr w:type="gramStart"/>
      <w:r w:rsidRPr="004D4083">
        <w:rPr>
          <w:rFonts w:ascii="宋体" w:eastAsia="宋体" w:hAnsi="宋体" w:hint="eastAsia"/>
          <w:sz w:val="24"/>
        </w:rPr>
        <w:t>人原因</w:t>
      </w:r>
      <w:proofErr w:type="gramEnd"/>
      <w:r w:rsidRPr="004D4083">
        <w:rPr>
          <w:rFonts w:ascii="宋体" w:eastAsia="宋体" w:hAnsi="宋体" w:hint="eastAsia"/>
          <w:sz w:val="24"/>
        </w:rPr>
        <w:t>在收到中标人提交的服务过程文件及自检报告后7日内未组织验收则视为自动验收通过。</w:t>
      </w:r>
    </w:p>
    <w:p w14:paraId="0159698B"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验收内容包括工作完成情况说明、完成工作量及服务费总表、工作完成情况总平面图，附件为工作完成情况凭据文件。工作完成情况凭据文件必须与工作方案中计量凭据照片一一对应、数量相当，为同一位置、同一角度的照片或视频。中标人来函向采购人申请验收。经采购人同意调整的工作量，中标人编制示意图和计量凭据，调整报价，与验收材料合并编报。</w:t>
      </w:r>
    </w:p>
    <w:p w14:paraId="5E329FC8"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（3）验收标准由采购人根据验收考核标准表（详见合同附表2）对中标人进行最终验收。</w:t>
      </w:r>
    </w:p>
    <w:p w14:paraId="5728B4E4" w14:textId="77777777" w:rsidR="004D4083" w:rsidRPr="004D4083" w:rsidRDefault="004D4083" w:rsidP="004D4083">
      <w:pPr>
        <w:spacing w:beforeLines="25" w:before="78" w:afterLines="25" w:after="78" w:line="360" w:lineRule="auto"/>
        <w:rPr>
          <w:rFonts w:ascii="宋体" w:eastAsia="宋体" w:hAnsi="宋体"/>
          <w:b/>
          <w:bCs/>
          <w:sz w:val="24"/>
        </w:rPr>
      </w:pPr>
      <w:r w:rsidRPr="004D4083">
        <w:rPr>
          <w:rFonts w:ascii="宋体" w:eastAsia="宋体" w:hAnsi="宋体" w:hint="eastAsia"/>
          <w:b/>
          <w:bCs/>
          <w:sz w:val="24"/>
        </w:rPr>
        <w:t>六、报价要求</w:t>
      </w:r>
    </w:p>
    <w:p w14:paraId="4FB0701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（1）本项目投标人须对“综合包干单价”以“折扣率”的形式进行报价。“折扣率”唯一且固定。</w:t>
      </w:r>
    </w:p>
    <w:p w14:paraId="3EC8CCF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（2）投标人以《地块综合管理服务事项综合包干单价表》的综合包干单价最高限价(元)作为基准价，采用折扣率的方式进行报价，投标折扣率必须为固定报价，不接受区间报价（如： 5％～8％），报价范围为0%≤投标折扣率≤100%，凡超过报价范围的，一律视为无效报价。</w:t>
      </w:r>
    </w:p>
    <w:p w14:paraId="386CED50"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投标人报价中一切与本项目实施内容相关的费用（包括但不限于运营费、人员费用、培训费、软件、硬件设备、废弃物清运费、宣传费、通讯费用、工具、交通费、材料费、税费等费用），报价中漏报、少报的费用，视为此项费用已隐含在投标报价中，中标后不得再向采购人收取任何费用。</w:t>
      </w:r>
    </w:p>
    <w:p w14:paraId="45D8E304"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（4）本项目结算总价以项目预算为上限。采购人以进场确认书或工作任务单的形式委托具体服务事项，中标人向采购人提供相应服务，根据工作实际完成</w:t>
      </w:r>
      <w:r w:rsidRPr="004D4083">
        <w:rPr>
          <w:rFonts w:ascii="宋体" w:eastAsia="宋体" w:hAnsi="宋体" w:hint="eastAsia"/>
          <w:sz w:val="24"/>
        </w:rPr>
        <w:lastRenderedPageBreak/>
        <w:t>情况，向采购人收取服务费。服务费由地块巡查管理费和地块配套服务费组成。</w:t>
      </w:r>
    </w:p>
    <w:p w14:paraId="2C89D8D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采购人不保证实际发生的服务费累计总金额与项目预算金额完全一致。合同服务期满，采购人不再支付项目预算金额与实际发生服务费的差额部分，中标人不得以此为由要求采购人承担任何违约赔偿责任或要求采购人给予任何补偿。采购人支付中标人的服务费累计达到本项目预算金额，且采购人未要求中标人延续提供服务，则合同效力自动终止。</w:t>
      </w:r>
    </w:p>
    <w:p w14:paraId="3F504F0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（6）中标人每次开展工作前应先核准费用，采购人向中标人派出的工作任务服务费累计金额若超过项目预算金额，则超过项目预算金额的工作任务视为无效且不计算服务费。</w:t>
      </w:r>
    </w:p>
    <w:p w14:paraId="06F5803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（7）采购人不再以合同地块综合管理服务事项综合包干单价表以外的其他费用名目向中标人计算费用，中标人因开展合同项下服务工作产生的其他一切费用由中标人自行承担。</w:t>
      </w:r>
    </w:p>
    <w:p w14:paraId="134567D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（8）在合同服务期满但新一轮地块综合管理服务的采购工作未能按期完成的情况下，中标人应根据采购人的要求延续提供2个月的合同约定的服务，费用标准按合同规定执行。</w:t>
      </w:r>
    </w:p>
    <w:p w14:paraId="68ACBDF3" w14:textId="77777777" w:rsidR="004D4083" w:rsidRPr="004D4083" w:rsidRDefault="004D4083" w:rsidP="004D4083">
      <w:pPr>
        <w:spacing w:beforeLines="25" w:before="78" w:afterLines="25" w:after="78" w:line="360" w:lineRule="auto"/>
        <w:rPr>
          <w:rFonts w:ascii="宋体" w:eastAsia="宋体" w:hAnsi="宋体"/>
          <w:b/>
          <w:bCs/>
          <w:sz w:val="24"/>
        </w:rPr>
      </w:pPr>
      <w:r w:rsidRPr="004D4083">
        <w:rPr>
          <w:rFonts w:ascii="宋体" w:eastAsia="宋体" w:hAnsi="宋体" w:hint="eastAsia"/>
          <w:b/>
          <w:bCs/>
          <w:sz w:val="24"/>
        </w:rPr>
        <w:t>七、其他要求</w:t>
      </w:r>
    </w:p>
    <w:p w14:paraId="46000B3D"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（1）中标人不得将该合同约定的服务项目转包，不能转移中标人的承包责任。</w:t>
      </w:r>
    </w:p>
    <w:p w14:paraId="0ABBF596"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2）储备地块及其周边村庄、厂房，发现紧急事件和安全事件，中标人须及时向采购人上报情况，采取有效的安全保护措施和警告。遇河道阻塞、水浸、坍塌、树木倾倒、围蔽失效、抢险、采购人委派的特殊任务等紧急事件和安全事件，中标人项目负责人、工作人员、主要设备和物资须在30分钟内抵达现场负责处理事件，采取有效的应急抢险措施，必要时负责请求城市管理、公安机关、属地政府等部门及村社协助处理，直至事件获得妥善解决，并向采购人上报事件处理结果。中标人在处理紧急事件和安全事件过程遇到的问题，由中标人自行解决并承担法律责任。</w:t>
      </w:r>
    </w:p>
    <w:p w14:paraId="67C92779"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（3）采购人有权根据政策法规或地块综合管理工作需要变更合同服务期限，双方另行签订书面补充合同进行变更。</w:t>
      </w:r>
    </w:p>
    <w:p w14:paraId="2AFC3EB3"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（4）采购人有权按中标人投标文件承诺的服务内容和服务标准修改服务合</w:t>
      </w:r>
      <w:r w:rsidRPr="004D4083">
        <w:rPr>
          <w:rFonts w:ascii="宋体" w:eastAsia="宋体" w:hAnsi="宋体" w:hint="eastAsia"/>
          <w:sz w:val="24"/>
        </w:rPr>
        <w:lastRenderedPageBreak/>
        <w:t>同中相应条款，中标人须认可并兑现相关承诺。同时，采购人保留对合同各项工作重新安排的权利。</w:t>
      </w:r>
    </w:p>
    <w:p w14:paraId="29FE2887" w14:textId="77777777" w:rsidR="004D4083" w:rsidRPr="004D4083"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（5）具体服务要求参照招标文件中合同书格式，投标人应认真阅读招标文件中全部内容。</w:t>
      </w:r>
    </w:p>
    <w:p w14:paraId="4B20CA9C" w14:textId="77777777" w:rsidR="004D4083" w:rsidRPr="004D4083" w:rsidRDefault="004D4083" w:rsidP="004D4083">
      <w:pPr>
        <w:spacing w:beforeLines="25" w:before="78" w:afterLines="25" w:after="78" w:line="360" w:lineRule="auto"/>
        <w:rPr>
          <w:rFonts w:ascii="宋体" w:eastAsia="宋体" w:hAnsi="宋体"/>
          <w:b/>
          <w:bCs/>
          <w:sz w:val="24"/>
        </w:rPr>
      </w:pPr>
      <w:r w:rsidRPr="004D4083">
        <w:rPr>
          <w:rFonts w:ascii="宋体" w:eastAsia="宋体" w:hAnsi="宋体" w:hint="eastAsia"/>
          <w:b/>
          <w:bCs/>
          <w:sz w:val="24"/>
        </w:rPr>
        <w:t>八、知识产权要求</w:t>
      </w:r>
    </w:p>
    <w:p w14:paraId="42F8B153" w14:textId="54D00370" w:rsidR="003A2D6E" w:rsidRDefault="004D4083" w:rsidP="004D4083">
      <w:pPr>
        <w:spacing w:line="360" w:lineRule="auto"/>
        <w:ind w:firstLineChars="200" w:firstLine="480"/>
        <w:rPr>
          <w:rFonts w:ascii="宋体" w:eastAsia="宋体" w:hAnsi="宋体"/>
          <w:sz w:val="24"/>
        </w:rPr>
      </w:pPr>
      <w:r w:rsidRPr="004D4083">
        <w:rPr>
          <w:rFonts w:ascii="宋体" w:eastAsia="宋体" w:hAnsi="宋体" w:hint="eastAsia"/>
          <w:sz w:val="24"/>
        </w:rPr>
        <w:t>投标人提交的方案成果应不侵犯第三方知识产权，如因投标人原因导致方案成果侵犯第三方知识产权导致了诉讼或侵权发生，采购人应毫不迟延的通知投标人，以便投标人协助处理和应对，由此导致的损失由投标人承担。</w:t>
      </w:r>
    </w:p>
    <w:p w14:paraId="673ECFEF" w14:textId="33D66F9D" w:rsidR="00D36A9D" w:rsidRPr="007034E7" w:rsidRDefault="007034E7" w:rsidP="007034E7">
      <w:pPr>
        <w:spacing w:beforeLines="25" w:before="78" w:afterLines="25" w:after="78" w:line="360" w:lineRule="auto"/>
        <w:rPr>
          <w:rFonts w:ascii="宋体" w:eastAsia="宋体" w:hAnsi="宋体"/>
          <w:b/>
          <w:bCs/>
          <w:sz w:val="24"/>
        </w:rPr>
      </w:pPr>
      <w:r w:rsidRPr="007034E7">
        <w:rPr>
          <w:rFonts w:ascii="宋体" w:eastAsia="宋体" w:hAnsi="宋体" w:hint="eastAsia"/>
          <w:b/>
          <w:bCs/>
          <w:sz w:val="24"/>
        </w:rPr>
        <w:t>九、</w:t>
      </w:r>
      <w:r w:rsidR="0010385C">
        <w:rPr>
          <w:rFonts w:ascii="宋体" w:eastAsia="宋体" w:hAnsi="宋体" w:hint="eastAsia"/>
          <w:b/>
          <w:bCs/>
          <w:sz w:val="24"/>
        </w:rPr>
        <w:t>付款方式</w:t>
      </w:r>
    </w:p>
    <w:p w14:paraId="014FDA54" w14:textId="77777777" w:rsidR="0010385C" w:rsidRPr="0010385C" w:rsidRDefault="0010385C" w:rsidP="0010385C">
      <w:pPr>
        <w:pStyle w:val="a0"/>
        <w:spacing w:line="360" w:lineRule="auto"/>
        <w:ind w:firstLine="480"/>
        <w:rPr>
          <w:rFonts w:ascii="宋体" w:eastAsia="宋体" w:hAnsi="宋体"/>
          <w:sz w:val="24"/>
        </w:rPr>
      </w:pPr>
      <w:r w:rsidRPr="0010385C">
        <w:rPr>
          <w:rFonts w:ascii="宋体" w:eastAsia="宋体" w:hAnsi="宋体" w:hint="eastAsia"/>
          <w:sz w:val="24"/>
        </w:rPr>
        <w:t>（</w:t>
      </w:r>
      <w:r w:rsidRPr="0010385C">
        <w:rPr>
          <w:rFonts w:ascii="宋体" w:eastAsia="宋体" w:hAnsi="宋体"/>
          <w:sz w:val="24"/>
        </w:rPr>
        <w:t>1）合同生效、中标人足额提交预付款担保且具备开展工作条件后，中标人可向采购人申请支付采购预算金额的30%作为预付款。</w:t>
      </w:r>
    </w:p>
    <w:p w14:paraId="6F778295" w14:textId="77777777" w:rsidR="0010385C" w:rsidRPr="0010385C" w:rsidRDefault="0010385C" w:rsidP="0010385C">
      <w:pPr>
        <w:pStyle w:val="a0"/>
        <w:spacing w:line="360" w:lineRule="auto"/>
        <w:ind w:firstLine="480"/>
        <w:rPr>
          <w:rFonts w:ascii="宋体" w:eastAsia="宋体" w:hAnsi="宋体"/>
          <w:sz w:val="24"/>
        </w:rPr>
      </w:pPr>
      <w:r w:rsidRPr="0010385C">
        <w:rPr>
          <w:rFonts w:ascii="宋体" w:eastAsia="宋体" w:hAnsi="宋体" w:hint="eastAsia"/>
          <w:sz w:val="24"/>
        </w:rPr>
        <w:t>（</w:t>
      </w:r>
      <w:r w:rsidRPr="0010385C">
        <w:rPr>
          <w:rFonts w:ascii="宋体" w:eastAsia="宋体" w:hAnsi="宋体"/>
          <w:sz w:val="24"/>
        </w:rPr>
        <w:t>2）中标人应向采购人提交与预付款等额的预付款担保。如果中标人的预付款担保是以银行保函的形式提供，则该银行保函应由中国注册且营业点在项目所在行政辖区内的银行开具。预付款保函期限从保函生效之日起直至预付款抵扣完毕之日止。</w:t>
      </w:r>
    </w:p>
    <w:p w14:paraId="56D98591" w14:textId="77777777" w:rsidR="0010385C" w:rsidRPr="0010385C" w:rsidRDefault="0010385C" w:rsidP="0010385C">
      <w:pPr>
        <w:pStyle w:val="a0"/>
        <w:spacing w:line="360" w:lineRule="auto"/>
        <w:ind w:firstLine="480"/>
        <w:rPr>
          <w:rFonts w:ascii="宋体" w:eastAsia="宋体" w:hAnsi="宋体"/>
          <w:sz w:val="24"/>
        </w:rPr>
      </w:pPr>
      <w:r w:rsidRPr="0010385C">
        <w:rPr>
          <w:rFonts w:ascii="宋体" w:eastAsia="宋体" w:hAnsi="宋体" w:hint="eastAsia"/>
          <w:sz w:val="24"/>
        </w:rPr>
        <w:t>（</w:t>
      </w:r>
      <w:r w:rsidRPr="0010385C">
        <w:rPr>
          <w:rFonts w:ascii="宋体" w:eastAsia="宋体" w:hAnsi="宋体"/>
          <w:sz w:val="24"/>
        </w:rPr>
        <w:t>3）预付款的抵扣：采购人累计支付地块巡查管理和地块配套两项服务费之和达到采购预算金额的30%时，扣回预付款的25%；累计支付地块巡查管理和地块配套两项服务费之和达到采购预算金额的40%，扣回至预付款的50%；累计支付地块巡查管理和地块配套两项服务费之和达到采购预算金额的50%，扣回至预付款的75%；累计支付地块巡查管理和地块配套两项服务费之和达到采购预算金额的60%，扣回全部预付款。</w:t>
      </w:r>
    </w:p>
    <w:p w14:paraId="71E5DF38" w14:textId="77777777" w:rsidR="0010385C" w:rsidRPr="0010385C" w:rsidRDefault="0010385C" w:rsidP="0010385C">
      <w:pPr>
        <w:pStyle w:val="a0"/>
        <w:spacing w:line="360" w:lineRule="auto"/>
        <w:ind w:firstLine="480"/>
        <w:rPr>
          <w:rFonts w:ascii="宋体" w:eastAsia="宋体" w:hAnsi="宋体"/>
          <w:sz w:val="24"/>
        </w:rPr>
      </w:pPr>
      <w:r w:rsidRPr="0010385C">
        <w:rPr>
          <w:rFonts w:ascii="宋体" w:eastAsia="宋体" w:hAnsi="宋体" w:hint="eastAsia"/>
          <w:sz w:val="24"/>
        </w:rPr>
        <w:t>（</w:t>
      </w:r>
      <w:r w:rsidRPr="0010385C">
        <w:rPr>
          <w:rFonts w:ascii="宋体" w:eastAsia="宋体" w:hAnsi="宋体"/>
          <w:sz w:val="24"/>
        </w:rPr>
        <w:t>4）合同有效期内，中标人按一季度一付的方式向采购人申请合同款。每个季度结束后10个工作日内，中标人向采购人申请一次性支付季度款。季度款＝本季度完成的地块巡查管理费＋本季度已完成的地块配套服务费－按合同约定扣回的合同预付款）。</w:t>
      </w:r>
    </w:p>
    <w:p w14:paraId="1AB1557E" w14:textId="77777777" w:rsidR="0010385C" w:rsidRPr="0010385C" w:rsidRDefault="0010385C" w:rsidP="0010385C">
      <w:pPr>
        <w:pStyle w:val="a0"/>
        <w:spacing w:line="360" w:lineRule="auto"/>
        <w:ind w:firstLine="480"/>
        <w:rPr>
          <w:rFonts w:ascii="宋体" w:eastAsia="宋体" w:hAnsi="宋体"/>
          <w:sz w:val="24"/>
        </w:rPr>
      </w:pPr>
      <w:r w:rsidRPr="0010385C">
        <w:rPr>
          <w:rFonts w:ascii="宋体" w:eastAsia="宋体" w:hAnsi="宋体" w:hint="eastAsia"/>
          <w:sz w:val="24"/>
        </w:rPr>
        <w:t>（</w:t>
      </w:r>
      <w:r w:rsidRPr="0010385C">
        <w:rPr>
          <w:rFonts w:ascii="宋体" w:eastAsia="宋体" w:hAnsi="宋体"/>
          <w:sz w:val="24"/>
        </w:rPr>
        <w:t>5）服务期结束或合同终止、解除，采购人已支付给中标人的预付款扣除应支付给中标人的服务费后仍有余额的，中标人须于10个工作日内退还采购人该预付款余额。</w:t>
      </w:r>
    </w:p>
    <w:p w14:paraId="202976DA" w14:textId="77777777" w:rsidR="0010385C" w:rsidRPr="0010385C" w:rsidRDefault="0010385C" w:rsidP="0010385C">
      <w:pPr>
        <w:pStyle w:val="a0"/>
        <w:spacing w:line="360" w:lineRule="auto"/>
        <w:ind w:firstLine="480"/>
        <w:rPr>
          <w:rFonts w:ascii="宋体" w:eastAsia="宋体" w:hAnsi="宋体"/>
          <w:sz w:val="24"/>
        </w:rPr>
      </w:pPr>
      <w:r w:rsidRPr="0010385C">
        <w:rPr>
          <w:rFonts w:ascii="宋体" w:eastAsia="宋体" w:hAnsi="宋体" w:hint="eastAsia"/>
          <w:sz w:val="24"/>
        </w:rPr>
        <w:t>（</w:t>
      </w:r>
      <w:r w:rsidRPr="0010385C">
        <w:rPr>
          <w:rFonts w:ascii="宋体" w:eastAsia="宋体" w:hAnsi="宋体"/>
          <w:sz w:val="24"/>
        </w:rPr>
        <w:t>6）每次付款前，中标人均需开具等额合法有效的发票或《广州市非税收</w:t>
      </w:r>
      <w:r w:rsidRPr="0010385C">
        <w:rPr>
          <w:rFonts w:ascii="宋体" w:eastAsia="宋体" w:hAnsi="宋体"/>
          <w:sz w:val="24"/>
        </w:rPr>
        <w:lastRenderedPageBreak/>
        <w:t>入缴款通知书》给采购人办理支付手续，否则采购人有权拒绝付款。采购人收齐中标人支付申请材料后，15个工作日内完成支付手续。</w:t>
      </w:r>
    </w:p>
    <w:p w14:paraId="71C145E2" w14:textId="77777777" w:rsidR="0010385C" w:rsidRPr="0010385C" w:rsidRDefault="0010385C" w:rsidP="0010385C">
      <w:pPr>
        <w:pStyle w:val="a0"/>
        <w:spacing w:line="360" w:lineRule="auto"/>
        <w:ind w:firstLine="480"/>
        <w:rPr>
          <w:rFonts w:ascii="宋体" w:eastAsia="宋体" w:hAnsi="宋体"/>
          <w:sz w:val="24"/>
        </w:rPr>
      </w:pPr>
      <w:r w:rsidRPr="0010385C">
        <w:rPr>
          <w:rFonts w:ascii="宋体" w:eastAsia="宋体" w:hAnsi="宋体" w:hint="eastAsia"/>
          <w:sz w:val="24"/>
        </w:rPr>
        <w:t>（</w:t>
      </w:r>
      <w:r w:rsidRPr="0010385C">
        <w:rPr>
          <w:rFonts w:ascii="宋体" w:eastAsia="宋体" w:hAnsi="宋体"/>
          <w:sz w:val="24"/>
        </w:rPr>
        <w:t>7）合同项</w:t>
      </w:r>
      <w:proofErr w:type="gramStart"/>
      <w:r w:rsidRPr="0010385C">
        <w:rPr>
          <w:rFonts w:ascii="宋体" w:eastAsia="宋体" w:hAnsi="宋体"/>
          <w:sz w:val="24"/>
        </w:rPr>
        <w:t>下费用</w:t>
      </w:r>
      <w:proofErr w:type="gramEnd"/>
      <w:r w:rsidRPr="0010385C">
        <w:rPr>
          <w:rFonts w:ascii="宋体" w:eastAsia="宋体" w:hAnsi="宋体"/>
          <w:sz w:val="24"/>
        </w:rPr>
        <w:t>资金来源为财政资金，采购人付款时间指采购人申请办理财政拨付手续的时间，采购人向财政部门提出支付申请之日，即视为采购人履行了支付义务，如因财政原因导致迟延付款的，采购人不承担违约责任。</w:t>
      </w:r>
    </w:p>
    <w:p w14:paraId="1944259E" w14:textId="1EA2F440" w:rsidR="00D36A9D" w:rsidRDefault="0010385C" w:rsidP="0010385C">
      <w:pPr>
        <w:pStyle w:val="a0"/>
        <w:spacing w:line="360" w:lineRule="auto"/>
        <w:ind w:firstLine="480"/>
        <w:rPr>
          <w:rFonts w:ascii="宋体" w:eastAsia="宋体" w:hAnsi="宋体"/>
          <w:sz w:val="24"/>
        </w:rPr>
      </w:pPr>
      <w:r w:rsidRPr="0010385C">
        <w:rPr>
          <w:rFonts w:ascii="宋体" w:eastAsia="宋体" w:hAnsi="宋体" w:hint="eastAsia"/>
          <w:sz w:val="24"/>
        </w:rPr>
        <w:t>（</w:t>
      </w:r>
      <w:r w:rsidRPr="0010385C">
        <w:rPr>
          <w:rFonts w:ascii="宋体" w:eastAsia="宋体" w:hAnsi="宋体"/>
          <w:sz w:val="24"/>
        </w:rPr>
        <w:t>8）中标人须将合同项</w:t>
      </w:r>
      <w:proofErr w:type="gramStart"/>
      <w:r w:rsidRPr="0010385C">
        <w:rPr>
          <w:rFonts w:ascii="宋体" w:eastAsia="宋体" w:hAnsi="宋体"/>
          <w:sz w:val="24"/>
        </w:rPr>
        <w:t>下各项</w:t>
      </w:r>
      <w:proofErr w:type="gramEnd"/>
      <w:r w:rsidRPr="0010385C">
        <w:rPr>
          <w:rFonts w:ascii="宋体" w:eastAsia="宋体" w:hAnsi="宋体"/>
          <w:sz w:val="24"/>
        </w:rPr>
        <w:t>服务涉及的工作量相关资料全部归入合同项目档案，中标人负责对采购人、审计等政府部门提出的异议进行解释并提供支持材料，并承担由此产生的费用变化和法律责任。</w:t>
      </w:r>
    </w:p>
    <w:p w14:paraId="4F744AAA" w14:textId="77777777" w:rsidR="007034E7" w:rsidRDefault="007034E7" w:rsidP="00D36A9D">
      <w:pPr>
        <w:pStyle w:val="a0"/>
        <w:spacing w:line="360" w:lineRule="auto"/>
        <w:ind w:firstLine="480"/>
        <w:rPr>
          <w:rFonts w:ascii="宋体" w:eastAsia="宋体" w:hAnsi="宋体"/>
          <w:sz w:val="24"/>
        </w:rPr>
      </w:pPr>
    </w:p>
    <w:p w14:paraId="1B0FE33B" w14:textId="77777777" w:rsidR="007034E7" w:rsidRDefault="007034E7" w:rsidP="00D36A9D">
      <w:pPr>
        <w:pStyle w:val="a0"/>
        <w:spacing w:line="360" w:lineRule="auto"/>
        <w:ind w:firstLine="480"/>
        <w:rPr>
          <w:rFonts w:ascii="宋体" w:eastAsia="宋体" w:hAnsi="宋体"/>
          <w:sz w:val="24"/>
        </w:rPr>
      </w:pPr>
    </w:p>
    <w:p w14:paraId="7E329AEC" w14:textId="77777777" w:rsidR="007034E7" w:rsidRPr="00D36A9D" w:rsidRDefault="007034E7" w:rsidP="00D36A9D">
      <w:pPr>
        <w:pStyle w:val="a0"/>
        <w:spacing w:line="360" w:lineRule="auto"/>
        <w:ind w:firstLine="480"/>
        <w:rPr>
          <w:rFonts w:ascii="宋体" w:eastAsia="宋体" w:hAnsi="宋体"/>
          <w:sz w:val="24"/>
        </w:rPr>
      </w:pPr>
    </w:p>
    <w:p w14:paraId="1F0CC953" w14:textId="77777777" w:rsidR="00D36A9D" w:rsidRPr="00D36A9D" w:rsidRDefault="00D36A9D" w:rsidP="00D36A9D">
      <w:pPr>
        <w:pStyle w:val="a0"/>
        <w:spacing w:line="360" w:lineRule="auto"/>
        <w:ind w:firstLine="480"/>
        <w:rPr>
          <w:rFonts w:ascii="宋体" w:eastAsia="宋体" w:hAnsi="宋体"/>
          <w:sz w:val="24"/>
        </w:rPr>
      </w:pPr>
    </w:p>
    <w:p w14:paraId="79379F84" w14:textId="77777777" w:rsidR="00D36A9D" w:rsidRPr="00D36A9D" w:rsidRDefault="00D36A9D" w:rsidP="00D36A9D">
      <w:pPr>
        <w:pStyle w:val="a0"/>
        <w:spacing w:line="360" w:lineRule="auto"/>
        <w:ind w:firstLine="480"/>
        <w:rPr>
          <w:rFonts w:ascii="宋体" w:eastAsia="宋体" w:hAnsi="宋体"/>
          <w:sz w:val="24"/>
        </w:rPr>
      </w:pPr>
    </w:p>
    <w:sectPr w:rsidR="00D36A9D" w:rsidRPr="00D36A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7D19" w14:textId="77777777" w:rsidR="00496A45" w:rsidRDefault="00496A45" w:rsidP="004D4083">
      <w:r>
        <w:separator/>
      </w:r>
    </w:p>
  </w:endnote>
  <w:endnote w:type="continuationSeparator" w:id="0">
    <w:p w14:paraId="2302A961" w14:textId="77777777" w:rsidR="00496A45" w:rsidRDefault="00496A45" w:rsidP="004D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D610" w14:textId="77777777" w:rsidR="00496A45" w:rsidRDefault="00496A45" w:rsidP="004D4083">
      <w:r>
        <w:separator/>
      </w:r>
    </w:p>
  </w:footnote>
  <w:footnote w:type="continuationSeparator" w:id="0">
    <w:p w14:paraId="283ADB26" w14:textId="77777777" w:rsidR="00496A45" w:rsidRDefault="00496A45" w:rsidP="004D4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BD"/>
    <w:rsid w:val="00093E9A"/>
    <w:rsid w:val="0010385C"/>
    <w:rsid w:val="00204D77"/>
    <w:rsid w:val="003A2D6E"/>
    <w:rsid w:val="0045638D"/>
    <w:rsid w:val="00496A45"/>
    <w:rsid w:val="004D4083"/>
    <w:rsid w:val="004D7B9B"/>
    <w:rsid w:val="00507C7B"/>
    <w:rsid w:val="006F493E"/>
    <w:rsid w:val="007034E7"/>
    <w:rsid w:val="00B671BD"/>
    <w:rsid w:val="00D36A9D"/>
    <w:rsid w:val="00DD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86DF4"/>
  <w15:chartTrackingRefBased/>
  <w15:docId w15:val="{ABC5ADF0-7FF7-4409-983B-778F8D77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D4083"/>
    <w:pPr>
      <w:widowControl w:val="0"/>
      <w:jc w:val="both"/>
    </w:pPr>
    <w:rPr>
      <w:szCs w:val="24"/>
    </w:rPr>
  </w:style>
  <w:style w:type="paragraph" w:styleId="1">
    <w:name w:val="heading 1"/>
    <w:basedOn w:val="a"/>
    <w:next w:val="a"/>
    <w:link w:val="10"/>
    <w:uiPriority w:val="9"/>
    <w:qFormat/>
    <w:rsid w:val="00B671B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671B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671B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671B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671B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671BD"/>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B671BD"/>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B671BD"/>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B671BD"/>
    <w:pPr>
      <w:keepNext/>
      <w:keepLines/>
      <w:outlineLvl w:val="8"/>
    </w:pPr>
    <w:rPr>
      <w:rFonts w:eastAsiaTheme="majorEastAsia" w:cstheme="majorBidi"/>
      <w:color w:val="595959" w:themeColor="text1" w:themeTint="A6"/>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级标题"/>
    <w:basedOn w:val="a"/>
    <w:link w:val="a5"/>
    <w:qFormat/>
    <w:rsid w:val="00507C7B"/>
    <w:pPr>
      <w:spacing w:line="360" w:lineRule="auto"/>
      <w:jc w:val="center"/>
      <w:outlineLvl w:val="0"/>
    </w:pPr>
    <w:rPr>
      <w:rFonts w:ascii="方正小标宋简体" w:eastAsia="方正小标宋简体" w:hAnsi="Calibri" w:cs="黑体"/>
      <w:b/>
      <w:bCs/>
      <w:sz w:val="44"/>
      <w:szCs w:val="44"/>
    </w:rPr>
  </w:style>
  <w:style w:type="character" w:customStyle="1" w:styleId="a5">
    <w:name w:val="一级标题 字符"/>
    <w:basedOn w:val="a1"/>
    <w:link w:val="a4"/>
    <w:rsid w:val="00507C7B"/>
    <w:rPr>
      <w:rFonts w:ascii="方正小标宋简体" w:eastAsia="方正小标宋简体" w:hAnsi="Calibri" w:cs="黑体"/>
      <w:b/>
      <w:bCs/>
      <w:sz w:val="44"/>
      <w:szCs w:val="44"/>
    </w:rPr>
  </w:style>
  <w:style w:type="paragraph" w:customStyle="1" w:styleId="a6">
    <w:name w:val="二级标题"/>
    <w:basedOn w:val="a"/>
    <w:link w:val="a7"/>
    <w:qFormat/>
    <w:rsid w:val="00507C7B"/>
    <w:pPr>
      <w:spacing w:line="360" w:lineRule="auto"/>
      <w:outlineLvl w:val="1"/>
    </w:pPr>
    <w:rPr>
      <w:rFonts w:ascii="方正小标宋简体" w:eastAsia="方正小标宋简体" w:hAnsi="Calibri" w:cs="黑体"/>
      <w:b/>
      <w:bCs/>
      <w:sz w:val="36"/>
      <w:szCs w:val="36"/>
    </w:rPr>
  </w:style>
  <w:style w:type="character" w:customStyle="1" w:styleId="a7">
    <w:name w:val="二级标题 字符"/>
    <w:basedOn w:val="a1"/>
    <w:link w:val="a6"/>
    <w:rsid w:val="00507C7B"/>
    <w:rPr>
      <w:rFonts w:ascii="方正小标宋简体" w:eastAsia="方正小标宋简体" w:hAnsi="Calibri" w:cs="黑体"/>
      <w:b/>
      <w:bCs/>
      <w:sz w:val="36"/>
      <w:szCs w:val="36"/>
    </w:rPr>
  </w:style>
  <w:style w:type="paragraph" w:customStyle="1" w:styleId="a8">
    <w:name w:val="三级标题"/>
    <w:basedOn w:val="a"/>
    <w:link w:val="a9"/>
    <w:qFormat/>
    <w:rsid w:val="00507C7B"/>
    <w:pPr>
      <w:spacing w:line="360" w:lineRule="auto"/>
      <w:outlineLvl w:val="2"/>
    </w:pPr>
    <w:rPr>
      <w:rFonts w:ascii="方正小标宋简体" w:eastAsia="方正小标宋简体" w:hAnsi="Calibri" w:cs="黑体"/>
      <w:sz w:val="32"/>
      <w:szCs w:val="32"/>
    </w:rPr>
  </w:style>
  <w:style w:type="character" w:customStyle="1" w:styleId="a9">
    <w:name w:val="三级标题 字符"/>
    <w:basedOn w:val="a1"/>
    <w:link w:val="a8"/>
    <w:rsid w:val="00507C7B"/>
    <w:rPr>
      <w:rFonts w:ascii="方正小标宋简体" w:eastAsia="方正小标宋简体" w:hAnsi="Calibri" w:cs="黑体"/>
      <w:sz w:val="32"/>
      <w:szCs w:val="32"/>
    </w:rPr>
  </w:style>
  <w:style w:type="paragraph" w:customStyle="1" w:styleId="aa">
    <w:name w:val="落款"/>
    <w:basedOn w:val="a"/>
    <w:link w:val="ab"/>
    <w:qFormat/>
    <w:rsid w:val="00507C7B"/>
    <w:pPr>
      <w:ind w:firstLineChars="1100" w:firstLine="3080"/>
      <w:jc w:val="right"/>
    </w:pPr>
    <w:rPr>
      <w:rFonts w:ascii="仿宋_GB2312" w:eastAsia="仿宋_GB2312" w:hAnsi="仿宋_GB2312" w:cs="仿宋_GB2312"/>
      <w:sz w:val="28"/>
      <w:szCs w:val="28"/>
    </w:rPr>
  </w:style>
  <w:style w:type="character" w:customStyle="1" w:styleId="ab">
    <w:name w:val="落款 字符"/>
    <w:basedOn w:val="a1"/>
    <w:link w:val="aa"/>
    <w:rsid w:val="00507C7B"/>
    <w:rPr>
      <w:rFonts w:ascii="仿宋_GB2312" w:eastAsia="仿宋_GB2312" w:hAnsi="仿宋_GB2312" w:cs="仿宋_GB2312"/>
      <w:sz w:val="28"/>
      <w:szCs w:val="28"/>
    </w:rPr>
  </w:style>
  <w:style w:type="paragraph" w:customStyle="1" w:styleId="ac">
    <w:name w:val="落款左"/>
    <w:basedOn w:val="a"/>
    <w:link w:val="ad"/>
    <w:qFormat/>
    <w:rsid w:val="00507C7B"/>
    <w:pPr>
      <w:spacing w:line="360" w:lineRule="auto"/>
    </w:pPr>
    <w:rPr>
      <w:rFonts w:ascii="仿宋_GB2312" w:eastAsia="仿宋_GB2312" w:hAnsi="Calibri" w:cs="黑体"/>
      <w:sz w:val="28"/>
      <w:szCs w:val="28"/>
    </w:rPr>
  </w:style>
  <w:style w:type="character" w:customStyle="1" w:styleId="ad">
    <w:name w:val="落款左 字符"/>
    <w:basedOn w:val="a1"/>
    <w:link w:val="ac"/>
    <w:rsid w:val="00507C7B"/>
    <w:rPr>
      <w:rFonts w:ascii="仿宋_GB2312" w:eastAsia="仿宋_GB2312" w:hAnsi="Calibri" w:cs="黑体"/>
      <w:sz w:val="28"/>
      <w:szCs w:val="28"/>
    </w:rPr>
  </w:style>
  <w:style w:type="character" w:customStyle="1" w:styleId="10">
    <w:name w:val="标题 1 字符"/>
    <w:basedOn w:val="a1"/>
    <w:link w:val="1"/>
    <w:uiPriority w:val="9"/>
    <w:rsid w:val="00B671BD"/>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B671BD"/>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B671BD"/>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B671BD"/>
    <w:rPr>
      <w:rFonts w:cstheme="majorBidi"/>
      <w:color w:val="0F4761" w:themeColor="accent1" w:themeShade="BF"/>
      <w:sz w:val="28"/>
      <w:szCs w:val="28"/>
    </w:rPr>
  </w:style>
  <w:style w:type="character" w:customStyle="1" w:styleId="50">
    <w:name w:val="标题 5 字符"/>
    <w:basedOn w:val="a1"/>
    <w:link w:val="5"/>
    <w:uiPriority w:val="9"/>
    <w:semiHidden/>
    <w:rsid w:val="00B671BD"/>
    <w:rPr>
      <w:rFonts w:cstheme="majorBidi"/>
      <w:color w:val="0F4761" w:themeColor="accent1" w:themeShade="BF"/>
      <w:sz w:val="24"/>
      <w:szCs w:val="24"/>
    </w:rPr>
  </w:style>
  <w:style w:type="character" w:customStyle="1" w:styleId="60">
    <w:name w:val="标题 6 字符"/>
    <w:basedOn w:val="a1"/>
    <w:link w:val="6"/>
    <w:uiPriority w:val="9"/>
    <w:semiHidden/>
    <w:rsid w:val="00B671BD"/>
    <w:rPr>
      <w:rFonts w:cstheme="majorBidi"/>
      <w:b/>
      <w:bCs/>
      <w:color w:val="0F4761" w:themeColor="accent1" w:themeShade="BF"/>
    </w:rPr>
  </w:style>
  <w:style w:type="character" w:customStyle="1" w:styleId="70">
    <w:name w:val="标题 7 字符"/>
    <w:basedOn w:val="a1"/>
    <w:link w:val="7"/>
    <w:uiPriority w:val="9"/>
    <w:semiHidden/>
    <w:rsid w:val="00B671BD"/>
    <w:rPr>
      <w:rFonts w:cstheme="majorBidi"/>
      <w:b/>
      <w:bCs/>
      <w:color w:val="595959" w:themeColor="text1" w:themeTint="A6"/>
    </w:rPr>
  </w:style>
  <w:style w:type="character" w:customStyle="1" w:styleId="80">
    <w:name w:val="标题 8 字符"/>
    <w:basedOn w:val="a1"/>
    <w:link w:val="8"/>
    <w:uiPriority w:val="9"/>
    <w:semiHidden/>
    <w:rsid w:val="00B671BD"/>
    <w:rPr>
      <w:rFonts w:cstheme="majorBidi"/>
      <w:color w:val="595959" w:themeColor="text1" w:themeTint="A6"/>
    </w:rPr>
  </w:style>
  <w:style w:type="character" w:customStyle="1" w:styleId="90">
    <w:name w:val="标题 9 字符"/>
    <w:basedOn w:val="a1"/>
    <w:link w:val="9"/>
    <w:uiPriority w:val="9"/>
    <w:semiHidden/>
    <w:rsid w:val="00B671BD"/>
    <w:rPr>
      <w:rFonts w:eastAsiaTheme="majorEastAsia" w:cstheme="majorBidi"/>
      <w:color w:val="595959" w:themeColor="text1" w:themeTint="A6"/>
    </w:rPr>
  </w:style>
  <w:style w:type="paragraph" w:styleId="ae">
    <w:name w:val="Title"/>
    <w:basedOn w:val="a"/>
    <w:next w:val="a"/>
    <w:link w:val="af"/>
    <w:uiPriority w:val="10"/>
    <w:qFormat/>
    <w:rsid w:val="00B671BD"/>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1"/>
    <w:link w:val="ae"/>
    <w:uiPriority w:val="10"/>
    <w:rsid w:val="00B671BD"/>
    <w:rPr>
      <w:rFonts w:asciiTheme="majorHAnsi" w:eastAsiaTheme="majorEastAsia" w:hAnsiTheme="majorHAnsi" w:cstheme="majorBidi"/>
      <w:spacing w:val="-10"/>
      <w:kern w:val="28"/>
      <w:sz w:val="56"/>
      <w:szCs w:val="56"/>
    </w:rPr>
  </w:style>
  <w:style w:type="paragraph" w:styleId="af0">
    <w:name w:val="Subtitle"/>
    <w:basedOn w:val="a"/>
    <w:next w:val="a"/>
    <w:link w:val="af1"/>
    <w:uiPriority w:val="11"/>
    <w:qFormat/>
    <w:rsid w:val="00B671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1"/>
    <w:link w:val="af0"/>
    <w:uiPriority w:val="11"/>
    <w:rsid w:val="00B671BD"/>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rsid w:val="00B671BD"/>
    <w:pPr>
      <w:spacing w:before="160" w:after="160"/>
      <w:jc w:val="center"/>
    </w:pPr>
    <w:rPr>
      <w:i/>
      <w:iCs/>
      <w:color w:val="404040" w:themeColor="text1" w:themeTint="BF"/>
      <w:szCs w:val="22"/>
    </w:rPr>
  </w:style>
  <w:style w:type="character" w:customStyle="1" w:styleId="af3">
    <w:name w:val="引用 字符"/>
    <w:basedOn w:val="a1"/>
    <w:link w:val="af2"/>
    <w:uiPriority w:val="29"/>
    <w:rsid w:val="00B671BD"/>
    <w:rPr>
      <w:i/>
      <w:iCs/>
      <w:color w:val="404040" w:themeColor="text1" w:themeTint="BF"/>
    </w:rPr>
  </w:style>
  <w:style w:type="paragraph" w:styleId="af4">
    <w:name w:val="List Paragraph"/>
    <w:basedOn w:val="a"/>
    <w:uiPriority w:val="34"/>
    <w:qFormat/>
    <w:rsid w:val="00B671BD"/>
    <w:pPr>
      <w:ind w:left="720"/>
      <w:contextualSpacing/>
    </w:pPr>
    <w:rPr>
      <w:szCs w:val="22"/>
    </w:rPr>
  </w:style>
  <w:style w:type="character" w:styleId="af5">
    <w:name w:val="Intense Emphasis"/>
    <w:basedOn w:val="a1"/>
    <w:uiPriority w:val="21"/>
    <w:qFormat/>
    <w:rsid w:val="00B671BD"/>
    <w:rPr>
      <w:i/>
      <w:iCs/>
      <w:color w:val="0F4761" w:themeColor="accent1" w:themeShade="BF"/>
    </w:rPr>
  </w:style>
  <w:style w:type="paragraph" w:styleId="af6">
    <w:name w:val="Intense Quote"/>
    <w:basedOn w:val="a"/>
    <w:next w:val="a"/>
    <w:link w:val="af7"/>
    <w:uiPriority w:val="30"/>
    <w:qFormat/>
    <w:rsid w:val="00B67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f7">
    <w:name w:val="明显引用 字符"/>
    <w:basedOn w:val="a1"/>
    <w:link w:val="af6"/>
    <w:uiPriority w:val="30"/>
    <w:rsid w:val="00B671BD"/>
    <w:rPr>
      <w:i/>
      <w:iCs/>
      <w:color w:val="0F4761" w:themeColor="accent1" w:themeShade="BF"/>
    </w:rPr>
  </w:style>
  <w:style w:type="character" w:styleId="af8">
    <w:name w:val="Intense Reference"/>
    <w:basedOn w:val="a1"/>
    <w:uiPriority w:val="32"/>
    <w:qFormat/>
    <w:rsid w:val="00B671BD"/>
    <w:rPr>
      <w:b/>
      <w:bCs/>
      <w:smallCaps/>
      <w:color w:val="0F4761" w:themeColor="accent1" w:themeShade="BF"/>
      <w:spacing w:val="5"/>
    </w:rPr>
  </w:style>
  <w:style w:type="paragraph" w:styleId="af9">
    <w:name w:val="header"/>
    <w:basedOn w:val="a"/>
    <w:link w:val="afa"/>
    <w:uiPriority w:val="99"/>
    <w:unhideWhenUsed/>
    <w:rsid w:val="004D4083"/>
    <w:pPr>
      <w:tabs>
        <w:tab w:val="center" w:pos="4153"/>
        <w:tab w:val="right" w:pos="8306"/>
      </w:tabs>
      <w:snapToGrid w:val="0"/>
      <w:jc w:val="center"/>
    </w:pPr>
    <w:rPr>
      <w:sz w:val="18"/>
      <w:szCs w:val="18"/>
    </w:rPr>
  </w:style>
  <w:style w:type="character" w:customStyle="1" w:styleId="afa">
    <w:name w:val="页眉 字符"/>
    <w:basedOn w:val="a1"/>
    <w:link w:val="af9"/>
    <w:uiPriority w:val="99"/>
    <w:rsid w:val="004D4083"/>
    <w:rPr>
      <w:sz w:val="18"/>
      <w:szCs w:val="18"/>
    </w:rPr>
  </w:style>
  <w:style w:type="paragraph" w:styleId="afb">
    <w:name w:val="footer"/>
    <w:basedOn w:val="a"/>
    <w:link w:val="afc"/>
    <w:uiPriority w:val="99"/>
    <w:unhideWhenUsed/>
    <w:rsid w:val="004D4083"/>
    <w:pPr>
      <w:tabs>
        <w:tab w:val="center" w:pos="4153"/>
        <w:tab w:val="right" w:pos="8306"/>
      </w:tabs>
      <w:snapToGrid w:val="0"/>
      <w:jc w:val="left"/>
    </w:pPr>
    <w:rPr>
      <w:sz w:val="18"/>
      <w:szCs w:val="18"/>
    </w:rPr>
  </w:style>
  <w:style w:type="character" w:customStyle="1" w:styleId="afc">
    <w:name w:val="页脚 字符"/>
    <w:basedOn w:val="a1"/>
    <w:link w:val="afb"/>
    <w:uiPriority w:val="99"/>
    <w:rsid w:val="004D4083"/>
    <w:rPr>
      <w:sz w:val="18"/>
      <w:szCs w:val="18"/>
    </w:rPr>
  </w:style>
  <w:style w:type="paragraph" w:styleId="a0">
    <w:name w:val="Normal Indent"/>
    <w:basedOn w:val="a"/>
    <w:uiPriority w:val="99"/>
    <w:semiHidden/>
    <w:unhideWhenUsed/>
    <w:rsid w:val="004D40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代理公司</dc:creator>
  <cp:keywords/>
  <dc:description/>
  <cp:lastModifiedBy>代理公司</cp:lastModifiedBy>
  <cp:revision>6</cp:revision>
  <dcterms:created xsi:type="dcterms:W3CDTF">2025-07-23T09:16:00Z</dcterms:created>
  <dcterms:modified xsi:type="dcterms:W3CDTF">2025-07-23T10:05:00Z</dcterms:modified>
</cp:coreProperties>
</file>