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1A33B">
      <w:pPr>
        <w:spacing w:after="0" w:line="360" w:lineRule="auto"/>
        <w:jc w:val="right"/>
        <w:rPr>
          <w:rFonts w:hint="eastAsia" w:ascii="仿宋" w:hAnsi="仿宋" w:eastAsia="仿宋" w:cs="仿宋"/>
          <w:color w:val="auto"/>
          <w:sz w:val="24"/>
          <w:szCs w:val="24"/>
          <w:highlight w:val="none"/>
        </w:rPr>
      </w:pPr>
      <w:bookmarkStart w:id="0" w:name="_Toc130697192"/>
      <w:bookmarkStart w:id="1" w:name="_Toc130695600"/>
      <w:bookmarkStart w:id="2" w:name="_Toc185747588"/>
      <w:bookmarkStart w:id="3" w:name="_Toc153615297"/>
      <w:bookmarkStart w:id="15" w:name="_GoBack"/>
      <w:bookmarkEnd w:id="15"/>
    </w:p>
    <w:p w14:paraId="67D72FE0">
      <w:pPr>
        <w:spacing w:line="360" w:lineRule="auto"/>
        <w:jc w:val="both"/>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附件1：</w:t>
      </w:r>
    </w:p>
    <w:p w14:paraId="43624FA9">
      <w:pPr>
        <w:spacing w:line="360" w:lineRule="auto"/>
        <w:ind w:firstLine="3614" w:firstLineChars="1200"/>
        <w:jc w:val="both"/>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报价</w:t>
      </w:r>
      <w:r>
        <w:rPr>
          <w:rFonts w:hint="eastAsia" w:ascii="仿宋" w:hAnsi="仿宋" w:eastAsia="仿宋" w:cs="仿宋"/>
          <w:b/>
          <w:bCs/>
          <w:color w:val="000000"/>
          <w:sz w:val="30"/>
          <w:szCs w:val="30"/>
          <w:highlight w:val="none"/>
        </w:rPr>
        <w:t>表</w:t>
      </w:r>
    </w:p>
    <w:tbl>
      <w:tblPr>
        <w:tblStyle w:val="8"/>
        <w:tblW w:w="9133" w:type="dxa"/>
        <w:tblInd w:w="-279" w:type="dxa"/>
        <w:tblLayout w:type="fixed"/>
        <w:tblCellMar>
          <w:top w:w="0" w:type="dxa"/>
          <w:left w:w="30" w:type="dxa"/>
          <w:bottom w:w="0" w:type="dxa"/>
          <w:right w:w="30" w:type="dxa"/>
        </w:tblCellMar>
      </w:tblPr>
      <w:tblGrid>
        <w:gridCol w:w="624"/>
        <w:gridCol w:w="1935"/>
        <w:gridCol w:w="1125"/>
        <w:gridCol w:w="1470"/>
        <w:gridCol w:w="891"/>
        <w:gridCol w:w="999"/>
        <w:gridCol w:w="2089"/>
      </w:tblGrid>
      <w:tr w14:paraId="74B662D8">
        <w:tblPrEx>
          <w:tblCellMar>
            <w:top w:w="0" w:type="dxa"/>
            <w:left w:w="30" w:type="dxa"/>
            <w:bottom w:w="0" w:type="dxa"/>
            <w:right w:w="30" w:type="dxa"/>
          </w:tblCellMar>
        </w:tblPrEx>
        <w:trPr>
          <w:cantSplit/>
          <w:trHeight w:val="737" w:hRule="atLeast"/>
        </w:trPr>
        <w:tc>
          <w:tcPr>
            <w:tcW w:w="624" w:type="dxa"/>
            <w:tcBorders>
              <w:top w:val="single" w:color="auto" w:sz="4" w:space="0"/>
              <w:left w:val="single" w:color="auto" w:sz="4" w:space="0"/>
              <w:bottom w:val="single" w:color="auto" w:sz="4" w:space="0"/>
              <w:right w:val="single" w:color="auto" w:sz="6" w:space="0"/>
            </w:tcBorders>
            <w:noWrap w:val="0"/>
            <w:vAlign w:val="center"/>
          </w:tcPr>
          <w:p w14:paraId="265BFDFA">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935" w:type="dxa"/>
            <w:tcBorders>
              <w:top w:val="single" w:color="auto" w:sz="4" w:space="0"/>
              <w:left w:val="single" w:color="auto" w:sz="6" w:space="0"/>
              <w:bottom w:val="single" w:color="auto" w:sz="4" w:space="0"/>
              <w:right w:val="single" w:color="auto" w:sz="6" w:space="0"/>
            </w:tcBorders>
            <w:noWrap w:val="0"/>
            <w:vAlign w:val="center"/>
          </w:tcPr>
          <w:p w14:paraId="00A9F3B6">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货物名称</w:t>
            </w:r>
          </w:p>
        </w:tc>
        <w:tc>
          <w:tcPr>
            <w:tcW w:w="1125" w:type="dxa"/>
            <w:tcBorders>
              <w:top w:val="single" w:color="auto" w:sz="4" w:space="0"/>
              <w:left w:val="single" w:color="auto" w:sz="6" w:space="0"/>
              <w:bottom w:val="single" w:color="auto" w:sz="4" w:space="0"/>
              <w:right w:val="single" w:color="auto" w:sz="6" w:space="0"/>
            </w:tcBorders>
            <w:shd w:val="clear" w:color="auto" w:fill="auto"/>
            <w:noWrap w:val="0"/>
            <w:vAlign w:val="center"/>
          </w:tcPr>
          <w:p w14:paraId="2A4FCC58">
            <w:pPr>
              <w:autoSpaceDE w:val="0"/>
              <w:autoSpaceDN w:val="0"/>
              <w:adjustRightInd w:val="0"/>
              <w:spacing w:line="360" w:lineRule="auto"/>
              <w:ind w:right="84" w:rightChars="4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供货周期</w:t>
            </w:r>
          </w:p>
        </w:tc>
        <w:tc>
          <w:tcPr>
            <w:tcW w:w="1470" w:type="dxa"/>
            <w:tcBorders>
              <w:top w:val="single" w:color="auto" w:sz="4" w:space="0"/>
              <w:left w:val="single" w:color="auto" w:sz="6" w:space="0"/>
              <w:bottom w:val="single" w:color="auto" w:sz="4" w:space="0"/>
              <w:right w:val="single" w:color="auto" w:sz="6" w:space="0"/>
            </w:tcBorders>
            <w:noWrap w:val="0"/>
            <w:vAlign w:val="center"/>
          </w:tcPr>
          <w:p w14:paraId="2901A37A">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预计</w:t>
            </w:r>
          </w:p>
          <w:p w14:paraId="57DF3AFD">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数量</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吨</w:t>
            </w:r>
            <w:r>
              <w:rPr>
                <w:rFonts w:hint="eastAsia" w:ascii="仿宋" w:hAnsi="仿宋" w:eastAsia="仿宋" w:cs="仿宋"/>
                <w:color w:val="000000"/>
                <w:sz w:val="24"/>
                <w:szCs w:val="24"/>
                <w:highlight w:val="none"/>
                <w:lang w:eastAsia="zh-CN"/>
              </w:rPr>
              <w:t>）</w:t>
            </w:r>
          </w:p>
        </w:tc>
        <w:tc>
          <w:tcPr>
            <w:tcW w:w="891" w:type="dxa"/>
            <w:tcBorders>
              <w:top w:val="single" w:color="auto" w:sz="4" w:space="0"/>
              <w:left w:val="single" w:color="auto" w:sz="6" w:space="0"/>
              <w:bottom w:val="single" w:color="auto" w:sz="4" w:space="0"/>
              <w:right w:val="single" w:color="auto" w:sz="4" w:space="0"/>
            </w:tcBorders>
            <w:noWrap w:val="0"/>
            <w:vAlign w:val="center"/>
          </w:tcPr>
          <w:p w14:paraId="4F960420">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单价</w:t>
            </w:r>
          </w:p>
        </w:tc>
        <w:tc>
          <w:tcPr>
            <w:tcW w:w="999" w:type="dxa"/>
            <w:tcBorders>
              <w:top w:val="single" w:color="auto" w:sz="4" w:space="0"/>
              <w:left w:val="single" w:color="auto" w:sz="4" w:space="0"/>
              <w:bottom w:val="single" w:color="auto" w:sz="4" w:space="0"/>
              <w:right w:val="single" w:color="auto" w:sz="6" w:space="0"/>
            </w:tcBorders>
            <w:noWrap w:val="0"/>
            <w:vAlign w:val="center"/>
          </w:tcPr>
          <w:p w14:paraId="63DB2456">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总价</w:t>
            </w:r>
          </w:p>
        </w:tc>
        <w:tc>
          <w:tcPr>
            <w:tcW w:w="2089" w:type="dxa"/>
            <w:tcBorders>
              <w:top w:val="single" w:color="auto" w:sz="4" w:space="0"/>
              <w:left w:val="single" w:color="auto" w:sz="6" w:space="0"/>
              <w:bottom w:val="single" w:color="auto" w:sz="4" w:space="0"/>
              <w:right w:val="single" w:color="auto" w:sz="4" w:space="0"/>
            </w:tcBorders>
            <w:noWrap w:val="0"/>
            <w:vAlign w:val="center"/>
          </w:tcPr>
          <w:p w14:paraId="3A478160">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tc>
      </w:tr>
      <w:tr w14:paraId="6B25EAAA">
        <w:tblPrEx>
          <w:tblCellMar>
            <w:top w:w="0" w:type="dxa"/>
            <w:left w:w="30" w:type="dxa"/>
            <w:bottom w:w="0" w:type="dxa"/>
            <w:right w:w="30" w:type="dxa"/>
          </w:tblCellMar>
        </w:tblPrEx>
        <w:trPr>
          <w:cantSplit/>
          <w:trHeight w:val="737" w:hRule="atLeast"/>
        </w:trPr>
        <w:tc>
          <w:tcPr>
            <w:tcW w:w="624" w:type="dxa"/>
            <w:tcBorders>
              <w:top w:val="single" w:color="auto" w:sz="4" w:space="0"/>
              <w:left w:val="single" w:color="auto" w:sz="4" w:space="0"/>
              <w:bottom w:val="single" w:color="auto" w:sz="6" w:space="0"/>
              <w:right w:val="single" w:color="auto" w:sz="6" w:space="0"/>
            </w:tcBorders>
            <w:noWrap w:val="0"/>
            <w:vAlign w:val="center"/>
          </w:tcPr>
          <w:p w14:paraId="2265BE15">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935" w:type="dxa"/>
            <w:vMerge w:val="restart"/>
            <w:tcBorders>
              <w:top w:val="single" w:color="auto" w:sz="4" w:space="0"/>
              <w:left w:val="single" w:color="auto" w:sz="6" w:space="0"/>
              <w:right w:val="single" w:color="auto" w:sz="6" w:space="0"/>
            </w:tcBorders>
            <w:noWrap w:val="0"/>
            <w:vAlign w:val="center"/>
          </w:tcPr>
          <w:p w14:paraId="1E902DD9">
            <w:pPr>
              <w:spacing w:line="360" w:lineRule="auto"/>
              <w:ind w:right="84" w:rightChars="40"/>
              <w:jc w:val="center"/>
              <w:rPr>
                <w:rFonts w:hint="eastAsia" w:ascii="仿宋" w:hAnsi="仿宋" w:eastAsia="仿宋" w:cs="仿宋"/>
                <w:sz w:val="24"/>
                <w:szCs w:val="24"/>
                <w:highlight w:val="none"/>
                <w:lang w:val="en-US" w:eastAsia="zh-CN"/>
              </w:rPr>
            </w:pPr>
          </w:p>
          <w:p w14:paraId="2CF3AEDD">
            <w:pPr>
              <w:numPr>
                <w:ilvl w:val="0"/>
                <w:numId w:val="0"/>
              </w:numPr>
              <w:spacing w:line="500" w:lineRule="exact"/>
              <w:ind w:right="0" w:rightChars="0"/>
              <w:jc w:val="left"/>
              <w:rPr>
                <w:rFonts w:hint="default"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熟石灰（</w:t>
            </w:r>
            <w:r>
              <w:rPr>
                <w:rFonts w:hint="eastAsia" w:ascii="仿宋" w:hAnsi="仿宋" w:eastAsia="仿宋" w:cs="仿宋"/>
                <w:sz w:val="24"/>
                <w:szCs w:val="24"/>
                <w:highlight w:val="none"/>
              </w:rPr>
              <w:t>Ca(OH)2纯度 ≥90%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细度：325目</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以上</w:t>
            </w:r>
            <w:r>
              <w:rPr>
                <w:rFonts w:hint="eastAsia" w:ascii="仿宋" w:hAnsi="仿宋" w:eastAsia="仿宋" w:cs="仿宋"/>
                <w:sz w:val="24"/>
                <w:szCs w:val="24"/>
                <w:highlight w:val="none"/>
                <w:lang w:eastAsia="zh-CN"/>
              </w:rPr>
              <w:t>）</w:t>
            </w:r>
          </w:p>
          <w:p w14:paraId="7BB52BB9">
            <w:pPr>
              <w:spacing w:line="360" w:lineRule="auto"/>
              <w:ind w:right="84" w:rightChars="40" w:firstLine="0" w:firstLineChars="0"/>
              <w:jc w:val="center"/>
              <w:rPr>
                <w:rFonts w:hint="eastAsia" w:ascii="仿宋" w:hAnsi="仿宋" w:eastAsia="仿宋" w:cs="仿宋"/>
                <w:color w:val="000000"/>
                <w:kern w:val="0"/>
                <w:sz w:val="24"/>
                <w:szCs w:val="24"/>
                <w:highlight w:val="none"/>
                <w:lang w:val="en-US" w:eastAsia="zh-CN" w:bidi="ar"/>
              </w:rPr>
            </w:pPr>
          </w:p>
        </w:tc>
        <w:tc>
          <w:tcPr>
            <w:tcW w:w="1125"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03432CF2">
            <w:pPr>
              <w:spacing w:line="360" w:lineRule="auto"/>
              <w:ind w:right="84" w:rightChars="4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第一年</w:t>
            </w:r>
          </w:p>
        </w:tc>
        <w:tc>
          <w:tcPr>
            <w:tcW w:w="1470" w:type="dxa"/>
            <w:tcBorders>
              <w:top w:val="single" w:color="auto" w:sz="4" w:space="0"/>
              <w:left w:val="single" w:color="auto" w:sz="6" w:space="0"/>
              <w:bottom w:val="single" w:color="auto" w:sz="6" w:space="0"/>
              <w:right w:val="single" w:color="auto" w:sz="6" w:space="0"/>
            </w:tcBorders>
            <w:noWrap w:val="0"/>
            <w:vAlign w:val="center"/>
          </w:tcPr>
          <w:p w14:paraId="1DE06AA2">
            <w:pPr>
              <w:autoSpaceDE w:val="0"/>
              <w:autoSpaceDN w:val="0"/>
              <w:adjustRightInd w:val="0"/>
              <w:spacing w:line="360" w:lineRule="auto"/>
              <w:ind w:right="84" w:rightChars="4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3000</w:t>
            </w:r>
          </w:p>
        </w:tc>
        <w:tc>
          <w:tcPr>
            <w:tcW w:w="891" w:type="dxa"/>
            <w:tcBorders>
              <w:top w:val="single" w:color="auto" w:sz="4" w:space="0"/>
              <w:left w:val="single" w:color="auto" w:sz="6" w:space="0"/>
              <w:bottom w:val="single" w:color="auto" w:sz="6" w:space="0"/>
              <w:right w:val="single" w:color="auto" w:sz="4" w:space="0"/>
            </w:tcBorders>
            <w:noWrap w:val="0"/>
            <w:vAlign w:val="center"/>
          </w:tcPr>
          <w:p w14:paraId="4FD3F17F">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c>
          <w:tcPr>
            <w:tcW w:w="999" w:type="dxa"/>
            <w:tcBorders>
              <w:top w:val="single" w:color="auto" w:sz="4" w:space="0"/>
              <w:left w:val="single" w:color="auto" w:sz="4" w:space="0"/>
              <w:bottom w:val="single" w:color="auto" w:sz="6" w:space="0"/>
              <w:right w:val="single" w:color="auto" w:sz="6" w:space="0"/>
            </w:tcBorders>
            <w:noWrap w:val="0"/>
            <w:vAlign w:val="center"/>
          </w:tcPr>
          <w:p w14:paraId="44C25652">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c>
          <w:tcPr>
            <w:tcW w:w="2089" w:type="dxa"/>
            <w:vMerge w:val="restart"/>
            <w:tcBorders>
              <w:top w:val="single" w:color="auto" w:sz="4" w:space="0"/>
              <w:left w:val="single" w:color="auto" w:sz="6" w:space="0"/>
              <w:right w:val="single" w:color="auto" w:sz="4" w:space="0"/>
            </w:tcBorders>
            <w:noWrap w:val="0"/>
            <w:vAlign w:val="center"/>
          </w:tcPr>
          <w:p w14:paraId="6DB193AA">
            <w:pPr>
              <w:autoSpaceDE w:val="0"/>
              <w:autoSpaceDN w:val="0"/>
              <w:adjustRightInd w:val="0"/>
              <w:spacing w:line="360" w:lineRule="auto"/>
              <w:ind w:right="84" w:rightChars="40"/>
              <w:jc w:val="left"/>
              <w:rPr>
                <w:rFonts w:hint="eastAsia" w:ascii="仿宋" w:hAnsi="仿宋" w:eastAsia="仿宋" w:cs="仿宋"/>
                <w:color w:val="000000"/>
                <w:sz w:val="24"/>
                <w:szCs w:val="24"/>
                <w:highlight w:val="none"/>
                <w:lang w:val="en-US" w:eastAsia="zh-CN"/>
              </w:rPr>
            </w:pPr>
            <w:r>
              <w:rPr>
                <w:rFonts w:hint="eastAsia" w:ascii="仿宋_GB2312" w:hAnsi="宋体" w:eastAsia="仿宋_GB2312" w:cs="仿宋_GB2312"/>
                <w:b w:val="0"/>
                <w:bCs w:val="0"/>
                <w:i w:val="0"/>
                <w:iCs w:val="0"/>
                <w:color w:val="000000"/>
                <w:kern w:val="0"/>
                <w:sz w:val="22"/>
                <w:szCs w:val="22"/>
                <w:highlight w:val="none"/>
                <w:u w:val="none"/>
                <w:lang w:val="en-US" w:eastAsia="zh-CN" w:bidi="ar"/>
              </w:rPr>
              <w:t>首个供货周期之后的每个供货周期价格为在前一个供货周期基础上按一定比例下浮后的报价。</w:t>
            </w:r>
          </w:p>
        </w:tc>
      </w:tr>
      <w:tr w14:paraId="3FAF4A7E">
        <w:tblPrEx>
          <w:tblCellMar>
            <w:top w:w="0" w:type="dxa"/>
            <w:left w:w="30" w:type="dxa"/>
            <w:bottom w:w="0" w:type="dxa"/>
            <w:right w:w="30" w:type="dxa"/>
          </w:tblCellMar>
        </w:tblPrEx>
        <w:trPr>
          <w:cantSplit/>
          <w:trHeight w:val="737"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14:paraId="3B64532D">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935" w:type="dxa"/>
            <w:vMerge w:val="continue"/>
            <w:tcBorders>
              <w:left w:val="single" w:color="auto" w:sz="6" w:space="0"/>
              <w:right w:val="single" w:color="auto" w:sz="6" w:space="0"/>
            </w:tcBorders>
            <w:noWrap w:val="0"/>
            <w:vAlign w:val="center"/>
          </w:tcPr>
          <w:p w14:paraId="5EA1E941">
            <w:pPr>
              <w:spacing w:line="360" w:lineRule="auto"/>
              <w:ind w:right="84" w:rightChars="40"/>
              <w:jc w:val="center"/>
              <w:rPr>
                <w:rFonts w:hint="default" w:ascii="仿宋" w:hAnsi="仿宋" w:eastAsia="仿宋" w:cs="仿宋"/>
                <w:color w:val="000000"/>
                <w:sz w:val="24"/>
                <w:szCs w:val="24"/>
                <w:highlight w:val="none"/>
                <w:lang w:val="en-US" w:eastAsia="zh-CN"/>
              </w:rPr>
            </w:pPr>
          </w:p>
        </w:tc>
        <w:tc>
          <w:tcPr>
            <w:tcW w:w="112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8445B92">
            <w:pPr>
              <w:spacing w:line="360" w:lineRule="auto"/>
              <w:ind w:right="84" w:rightChars="4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第二年</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7C40F4FD">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3000</w:t>
            </w:r>
          </w:p>
        </w:tc>
        <w:tc>
          <w:tcPr>
            <w:tcW w:w="891" w:type="dxa"/>
            <w:tcBorders>
              <w:top w:val="single" w:color="auto" w:sz="6" w:space="0"/>
              <w:left w:val="single" w:color="auto" w:sz="6" w:space="0"/>
              <w:bottom w:val="single" w:color="auto" w:sz="6" w:space="0"/>
              <w:right w:val="single" w:color="auto" w:sz="4" w:space="0"/>
            </w:tcBorders>
            <w:noWrap w:val="0"/>
            <w:vAlign w:val="center"/>
          </w:tcPr>
          <w:p w14:paraId="6ABE4CED">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1BD4D3D9">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c>
          <w:tcPr>
            <w:tcW w:w="2089" w:type="dxa"/>
            <w:vMerge w:val="continue"/>
            <w:tcBorders>
              <w:left w:val="single" w:color="auto" w:sz="6" w:space="0"/>
              <w:right w:val="single" w:color="auto" w:sz="4" w:space="0"/>
            </w:tcBorders>
            <w:noWrap w:val="0"/>
            <w:vAlign w:val="center"/>
          </w:tcPr>
          <w:p w14:paraId="7FB17B53">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r>
      <w:tr w14:paraId="6B1AB282">
        <w:tblPrEx>
          <w:tblCellMar>
            <w:top w:w="0" w:type="dxa"/>
            <w:left w:w="30" w:type="dxa"/>
            <w:bottom w:w="0" w:type="dxa"/>
            <w:right w:w="30" w:type="dxa"/>
          </w:tblCellMar>
        </w:tblPrEx>
        <w:trPr>
          <w:cantSplit/>
          <w:trHeight w:val="617" w:hRule="atLeast"/>
        </w:trPr>
        <w:tc>
          <w:tcPr>
            <w:tcW w:w="624" w:type="dxa"/>
            <w:tcBorders>
              <w:top w:val="single" w:color="auto" w:sz="6" w:space="0"/>
              <w:left w:val="single" w:color="auto" w:sz="6" w:space="0"/>
              <w:bottom w:val="single" w:color="auto" w:sz="6" w:space="0"/>
              <w:right w:val="single" w:color="auto" w:sz="6" w:space="0"/>
            </w:tcBorders>
            <w:noWrap w:val="0"/>
            <w:vAlign w:val="center"/>
          </w:tcPr>
          <w:p w14:paraId="171D23CB">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1935" w:type="dxa"/>
            <w:vMerge w:val="continue"/>
            <w:tcBorders>
              <w:left w:val="single" w:color="auto" w:sz="6" w:space="0"/>
              <w:bottom w:val="single" w:color="auto" w:sz="6" w:space="0"/>
              <w:right w:val="single" w:color="auto" w:sz="6" w:space="0"/>
            </w:tcBorders>
            <w:noWrap w:val="0"/>
            <w:vAlign w:val="center"/>
          </w:tcPr>
          <w:p w14:paraId="6763D19F">
            <w:pPr>
              <w:spacing w:line="360" w:lineRule="auto"/>
              <w:ind w:right="84" w:rightChars="40" w:firstLine="0" w:firstLineChars="0"/>
              <w:jc w:val="center"/>
              <w:rPr>
                <w:rFonts w:hint="eastAsia" w:ascii="仿宋" w:hAnsi="仿宋" w:eastAsia="仿宋" w:cs="仿宋"/>
                <w:color w:val="000000"/>
                <w:kern w:val="0"/>
                <w:sz w:val="24"/>
                <w:szCs w:val="24"/>
                <w:highlight w:val="none"/>
                <w:lang w:val="en-US" w:eastAsia="zh-CN" w:bidi="ar"/>
              </w:rPr>
            </w:pPr>
          </w:p>
        </w:tc>
        <w:tc>
          <w:tcPr>
            <w:tcW w:w="112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A956211">
            <w:pPr>
              <w:spacing w:line="360" w:lineRule="auto"/>
              <w:ind w:right="84" w:rightChars="40" w:firstLine="0" w:firstLine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kern w:val="2"/>
                <w:sz w:val="24"/>
                <w:szCs w:val="24"/>
                <w:highlight w:val="none"/>
                <w:lang w:val="en-US" w:eastAsia="zh-CN" w:bidi="ar"/>
              </w:rPr>
              <w:t>第三年</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DCF3F93">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3000</w:t>
            </w:r>
          </w:p>
        </w:tc>
        <w:tc>
          <w:tcPr>
            <w:tcW w:w="891" w:type="dxa"/>
            <w:tcBorders>
              <w:top w:val="single" w:color="auto" w:sz="6" w:space="0"/>
              <w:left w:val="single" w:color="auto" w:sz="6" w:space="0"/>
              <w:bottom w:val="single" w:color="auto" w:sz="6" w:space="0"/>
              <w:right w:val="single" w:color="auto" w:sz="6" w:space="0"/>
            </w:tcBorders>
            <w:noWrap w:val="0"/>
            <w:vAlign w:val="center"/>
          </w:tcPr>
          <w:p w14:paraId="66354ACB">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49848EEF">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c>
          <w:tcPr>
            <w:tcW w:w="2089" w:type="dxa"/>
            <w:vMerge w:val="continue"/>
            <w:tcBorders>
              <w:left w:val="single" w:color="auto" w:sz="6" w:space="0"/>
              <w:bottom w:val="single" w:color="auto" w:sz="6" w:space="0"/>
              <w:right w:val="single" w:color="auto" w:sz="4" w:space="0"/>
            </w:tcBorders>
            <w:noWrap w:val="0"/>
            <w:vAlign w:val="center"/>
          </w:tcPr>
          <w:p w14:paraId="2D27A465">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r>
      <w:tr w14:paraId="4CB30155">
        <w:tblPrEx>
          <w:tblCellMar>
            <w:top w:w="0" w:type="dxa"/>
            <w:left w:w="30" w:type="dxa"/>
            <w:bottom w:w="0" w:type="dxa"/>
            <w:right w:w="30" w:type="dxa"/>
          </w:tblCellMar>
        </w:tblPrEx>
        <w:trPr>
          <w:cantSplit/>
          <w:trHeight w:val="737" w:hRule="atLeast"/>
        </w:trPr>
        <w:tc>
          <w:tcPr>
            <w:tcW w:w="2559" w:type="dxa"/>
            <w:gridSpan w:val="2"/>
            <w:tcBorders>
              <w:top w:val="single" w:color="auto" w:sz="6" w:space="0"/>
              <w:left w:val="single" w:color="auto" w:sz="6" w:space="0"/>
              <w:bottom w:val="single" w:color="auto" w:sz="6" w:space="0"/>
              <w:right w:val="single" w:color="auto" w:sz="4" w:space="0"/>
            </w:tcBorders>
            <w:noWrap w:val="0"/>
            <w:vAlign w:val="center"/>
          </w:tcPr>
          <w:p w14:paraId="4A40CF04">
            <w:pPr>
              <w:autoSpaceDE w:val="0"/>
              <w:autoSpaceDN w:val="0"/>
              <w:adjustRightInd w:val="0"/>
              <w:spacing w:line="360" w:lineRule="auto"/>
              <w:ind w:right="84" w:rightChars="40" w:firstLine="720" w:firstLineChars="300"/>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合计</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元</w:t>
            </w:r>
            <w:r>
              <w:rPr>
                <w:rFonts w:hint="eastAsia" w:ascii="仿宋" w:hAnsi="仿宋" w:eastAsia="仿宋" w:cs="仿宋"/>
                <w:color w:val="000000"/>
                <w:sz w:val="24"/>
                <w:szCs w:val="24"/>
                <w:highlight w:val="none"/>
                <w:lang w:eastAsia="zh-CN"/>
              </w:rPr>
              <w:t>）</w:t>
            </w:r>
          </w:p>
        </w:tc>
        <w:tc>
          <w:tcPr>
            <w:tcW w:w="6574" w:type="dxa"/>
            <w:gridSpan w:val="5"/>
            <w:tcBorders>
              <w:top w:val="single" w:color="auto" w:sz="6" w:space="0"/>
              <w:left w:val="single" w:color="auto" w:sz="4" w:space="0"/>
              <w:bottom w:val="single" w:color="auto" w:sz="6" w:space="0"/>
              <w:right w:val="single" w:color="auto" w:sz="6" w:space="0"/>
            </w:tcBorders>
            <w:noWrap w:val="0"/>
            <w:vAlign w:val="center"/>
          </w:tcPr>
          <w:p w14:paraId="42DEF6EF">
            <w:pPr>
              <w:autoSpaceDE w:val="0"/>
              <w:autoSpaceDN w:val="0"/>
              <w:adjustRightInd w:val="0"/>
              <w:spacing w:line="360" w:lineRule="auto"/>
              <w:ind w:right="84" w:rightChars="40"/>
              <w:jc w:val="center"/>
              <w:rPr>
                <w:rFonts w:hint="eastAsia" w:ascii="仿宋" w:hAnsi="仿宋" w:eastAsia="仿宋" w:cs="仿宋"/>
                <w:color w:val="000000"/>
                <w:sz w:val="24"/>
                <w:szCs w:val="24"/>
                <w:highlight w:val="none"/>
              </w:rPr>
            </w:pPr>
          </w:p>
        </w:tc>
      </w:tr>
    </w:tbl>
    <w:p w14:paraId="4B167866">
      <w:pPr>
        <w:spacing w:line="360" w:lineRule="auto"/>
        <w:ind w:left="0" w:firstLine="0" w:firstLineChars="0"/>
        <w:jc w:val="left"/>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注：1.此表为货物总报价明细表，</w:t>
      </w:r>
      <w:r>
        <w:rPr>
          <w:rFonts w:hint="eastAsia" w:ascii="仿宋" w:hAnsi="仿宋" w:eastAsia="仿宋" w:cs="仿宋"/>
          <w:b/>
          <w:color w:val="000000"/>
          <w:szCs w:val="21"/>
          <w:highlight w:val="none"/>
          <w:lang w:val="en-US" w:eastAsia="zh-CN"/>
        </w:rPr>
        <w:t>所有报价均为含税价格（税率为13%），报价单位依据《采购人需求书》要求提供相关报价，报价单价为交货价，即已包含货物、包装、运输、人工、税费、利润、风险等满足《采购人需求书》全部要求的所有费用，不再单列</w:t>
      </w:r>
      <w:r>
        <w:rPr>
          <w:rFonts w:hint="eastAsia" w:ascii="仿宋" w:hAnsi="仿宋" w:eastAsia="仿宋" w:cs="仿宋"/>
          <w:b/>
          <w:color w:val="000000"/>
          <w:szCs w:val="21"/>
          <w:highlight w:val="none"/>
        </w:rPr>
        <w:t>。</w:t>
      </w:r>
    </w:p>
    <w:p w14:paraId="6A64C343">
      <w:pPr>
        <w:spacing w:line="360" w:lineRule="auto"/>
        <w:ind w:firstLine="413" w:firstLineChars="196"/>
        <w:jc w:val="left"/>
        <w:rPr>
          <w:rFonts w:hint="eastAsia" w:ascii="仿宋" w:hAnsi="仿宋" w:eastAsia="仿宋" w:cs="仿宋"/>
          <w:color w:val="000000"/>
          <w:sz w:val="24"/>
          <w:szCs w:val="24"/>
          <w:highlight w:val="none"/>
          <w:lang w:eastAsia="zh-CN"/>
        </w:rPr>
      </w:pPr>
      <w:r>
        <w:rPr>
          <w:rFonts w:hint="eastAsia" w:ascii="仿宋" w:hAnsi="仿宋" w:eastAsia="仿宋" w:cs="仿宋"/>
          <w:b/>
          <w:color w:val="000000"/>
          <w:szCs w:val="21"/>
          <w:highlight w:val="none"/>
          <w:lang w:val="en-US" w:eastAsia="zh-CN"/>
        </w:rPr>
        <w:t>2</w:t>
      </w:r>
      <w:r>
        <w:rPr>
          <w:rFonts w:hint="eastAsia" w:ascii="仿宋" w:hAnsi="仿宋" w:eastAsia="仿宋" w:cs="仿宋"/>
          <w:b/>
          <w:color w:val="000000"/>
          <w:szCs w:val="21"/>
          <w:highlight w:val="none"/>
        </w:rPr>
        <w:t>.该表格式仅作参考，报价的详细报价表格式可自定</w:t>
      </w:r>
      <w:r>
        <w:rPr>
          <w:rFonts w:hint="eastAsia" w:ascii="仿宋" w:hAnsi="仿宋" w:eastAsia="仿宋" w:cs="仿宋"/>
          <w:b/>
          <w:color w:val="000000"/>
          <w:szCs w:val="21"/>
          <w:highlight w:val="none"/>
          <w:lang w:eastAsia="zh-CN"/>
        </w:rPr>
        <w:t>。</w:t>
      </w:r>
    </w:p>
    <w:p w14:paraId="0AFCB86E">
      <w:pPr>
        <w:tabs>
          <w:tab w:val="left" w:pos="5940"/>
        </w:tabs>
        <w:spacing w:line="400" w:lineRule="exact"/>
        <w:rPr>
          <w:rFonts w:hint="eastAsia" w:ascii="仿宋" w:hAnsi="仿宋" w:eastAsia="仿宋" w:cs="仿宋"/>
          <w:color w:val="000000"/>
          <w:sz w:val="24"/>
          <w:szCs w:val="24"/>
          <w:highlight w:val="none"/>
        </w:rPr>
      </w:pPr>
    </w:p>
    <w:p w14:paraId="7C2F82B6">
      <w:pPr>
        <w:spacing w:line="48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lang w:eastAsia="zh-CN"/>
        </w:rPr>
        <w:t>单位名称: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（盖章） </w:t>
      </w:r>
    </w:p>
    <w:p w14:paraId="685962CC">
      <w:pPr>
        <w:spacing w:line="48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法定代表人/负责人/其委托代理人：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（签字或签章）</w:t>
      </w:r>
    </w:p>
    <w:p w14:paraId="17A0658F">
      <w:pPr>
        <w:spacing w:line="48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联系人：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联系电话：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w:t>
      </w:r>
    </w:p>
    <w:p w14:paraId="7EA30336">
      <w:pPr>
        <w:spacing w:line="48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期：______</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eastAsia="zh-CN"/>
        </w:rPr>
        <w:t>______</w:t>
      </w:r>
      <w:r>
        <w:rPr>
          <w:rFonts w:hint="eastAsia" w:ascii="仿宋" w:hAnsi="仿宋" w:eastAsia="仿宋" w:cs="仿宋"/>
          <w:color w:val="auto"/>
          <w:sz w:val="24"/>
          <w:szCs w:val="24"/>
          <w:highlight w:val="none"/>
          <w:lang w:val="zh-CN" w:eastAsia="zh-CN"/>
        </w:rPr>
        <w:t>月</w:t>
      </w:r>
      <w:r>
        <w:rPr>
          <w:rFonts w:hint="eastAsia" w:ascii="仿宋" w:hAnsi="仿宋" w:eastAsia="仿宋" w:cs="仿宋"/>
          <w:color w:val="auto"/>
          <w:sz w:val="24"/>
          <w:szCs w:val="24"/>
          <w:highlight w:val="none"/>
          <w:lang w:eastAsia="zh-CN"/>
        </w:rPr>
        <w:t>_______</w:t>
      </w:r>
      <w:r>
        <w:rPr>
          <w:rFonts w:hint="eastAsia" w:ascii="仿宋" w:hAnsi="仿宋" w:eastAsia="仿宋" w:cs="仿宋"/>
          <w:color w:val="auto"/>
          <w:sz w:val="24"/>
          <w:szCs w:val="24"/>
          <w:highlight w:val="none"/>
          <w:lang w:val="zh-CN" w:eastAsia="zh-CN"/>
        </w:rPr>
        <w:t>日</w:t>
      </w:r>
    </w:p>
    <w:p w14:paraId="6F5E228B">
      <w:pPr>
        <w:spacing w:after="0" w:line="360" w:lineRule="auto"/>
        <w:jc w:val="both"/>
        <w:rPr>
          <w:rFonts w:hint="eastAsia" w:ascii="仿宋" w:hAnsi="仿宋" w:eastAsia="仿宋" w:cs="仿宋"/>
          <w:color w:val="auto"/>
          <w:sz w:val="24"/>
          <w:szCs w:val="24"/>
          <w:highlight w:val="none"/>
        </w:rPr>
      </w:pPr>
    </w:p>
    <w:p w14:paraId="5255AA8F">
      <w:pPr>
        <w:spacing w:line="360" w:lineRule="auto"/>
        <w:outlineLvl w:val="0"/>
        <w:rPr>
          <w:rFonts w:hint="eastAsia" w:ascii="仿宋" w:hAnsi="仿宋" w:eastAsia="仿宋" w:cs="仿宋"/>
          <w:b/>
          <w:sz w:val="24"/>
          <w:szCs w:val="24"/>
          <w:highlight w:val="none"/>
        </w:rPr>
      </w:pPr>
    </w:p>
    <w:p w14:paraId="22D1404A">
      <w:pPr>
        <w:spacing w:line="360" w:lineRule="auto"/>
        <w:outlineLvl w:val="0"/>
        <w:rPr>
          <w:rFonts w:hint="eastAsia" w:ascii="仿宋" w:hAnsi="仿宋" w:eastAsia="仿宋" w:cs="仿宋"/>
          <w:b/>
          <w:sz w:val="24"/>
          <w:szCs w:val="24"/>
          <w:highlight w:val="none"/>
        </w:rPr>
      </w:pPr>
    </w:p>
    <w:p w14:paraId="41DDD1B8">
      <w:pPr>
        <w:spacing w:line="360" w:lineRule="auto"/>
        <w:outlineLvl w:val="0"/>
        <w:rPr>
          <w:rFonts w:hint="eastAsia" w:ascii="仿宋" w:hAnsi="仿宋" w:eastAsia="仿宋" w:cs="仿宋"/>
          <w:b/>
          <w:sz w:val="24"/>
          <w:szCs w:val="24"/>
          <w:highlight w:val="none"/>
          <w:lang w:eastAsia="zh-CN"/>
        </w:rPr>
      </w:pPr>
    </w:p>
    <w:p w14:paraId="0035EB32">
      <w:pPr>
        <w:spacing w:line="360" w:lineRule="auto"/>
        <w:outlineLvl w:val="0"/>
        <w:rPr>
          <w:rFonts w:hint="eastAsia" w:ascii="仿宋" w:hAnsi="仿宋" w:eastAsia="仿宋" w:cs="仿宋"/>
          <w:b/>
          <w:sz w:val="24"/>
          <w:szCs w:val="24"/>
          <w:highlight w:val="none"/>
          <w:lang w:eastAsia="zh-CN"/>
        </w:rPr>
      </w:pPr>
    </w:p>
    <w:p w14:paraId="4DCDDDFA">
      <w:pPr>
        <w:spacing w:line="360" w:lineRule="auto"/>
        <w:outlineLvl w:val="0"/>
        <w:rPr>
          <w:rFonts w:hint="eastAsia" w:ascii="仿宋" w:hAnsi="仿宋" w:eastAsia="仿宋" w:cs="仿宋"/>
          <w:b/>
          <w:sz w:val="24"/>
          <w:szCs w:val="24"/>
          <w:highlight w:val="none"/>
          <w:lang w:eastAsia="zh-CN"/>
        </w:rPr>
      </w:pPr>
    </w:p>
    <w:p w14:paraId="69D6C8D0">
      <w:pPr>
        <w:spacing w:line="360" w:lineRule="auto"/>
        <w:outlineLvl w:val="0"/>
        <w:rPr>
          <w:rFonts w:hint="eastAsia" w:ascii="仿宋" w:hAnsi="仿宋" w:eastAsia="仿宋" w:cs="仿宋"/>
          <w:b/>
          <w:sz w:val="24"/>
          <w:szCs w:val="24"/>
          <w:highlight w:val="none"/>
          <w:lang w:eastAsia="zh-CN"/>
        </w:rPr>
      </w:pPr>
    </w:p>
    <w:p w14:paraId="2C7D3747">
      <w:pPr>
        <w:spacing w:line="360" w:lineRule="auto"/>
        <w:outlineLvl w:val="0"/>
        <w:rPr>
          <w:rFonts w:hint="eastAsia" w:ascii="仿宋" w:hAnsi="仿宋" w:eastAsia="仿宋" w:cs="仿宋"/>
          <w:b/>
          <w:sz w:val="24"/>
          <w:szCs w:val="24"/>
          <w:highlight w:val="none"/>
        </w:rPr>
      </w:pPr>
    </w:p>
    <w:p w14:paraId="5A380DC8">
      <w:pPr>
        <w:spacing w:line="360" w:lineRule="auto"/>
        <w:jc w:val="both"/>
        <w:rPr>
          <w:rFonts w:hint="default"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附件2：采购人需求书</w:t>
      </w:r>
    </w:p>
    <w:p w14:paraId="26D7D186">
      <w:pPr>
        <w:tabs>
          <w:tab w:val="left" w:pos="0"/>
          <w:tab w:val="left" w:pos="60"/>
        </w:tabs>
        <w:ind w:firstLine="3534" w:firstLineChars="11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采购人需求书</w:t>
      </w:r>
    </w:p>
    <w:p w14:paraId="0192BCD4">
      <w:pPr>
        <w:spacing w:line="240" w:lineRule="auto"/>
        <w:ind w:firstLine="0" w:firstLineChars="0"/>
        <w:jc w:val="left"/>
        <w:rPr>
          <w:rFonts w:ascii="仿宋" w:hAnsi="仿宋" w:eastAsia="仿宋" w:cs="宋体"/>
          <w:bCs/>
          <w:color w:val="000000"/>
          <w:szCs w:val="21"/>
          <w:highlight w:val="none"/>
        </w:rPr>
      </w:pPr>
      <w:r>
        <w:rPr>
          <w:rFonts w:hint="eastAsia" w:ascii="仿宋" w:hAnsi="仿宋" w:eastAsia="仿宋" w:cs="宋体"/>
          <w:bCs/>
          <w:color w:val="000000"/>
          <w:szCs w:val="21"/>
          <w:highlight w:val="none"/>
        </w:rPr>
        <w:t xml:space="preserve">             </w:t>
      </w:r>
    </w:p>
    <w:p w14:paraId="2ECB3687">
      <w:pPr>
        <w:spacing w:line="500" w:lineRule="exact"/>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6A695804">
      <w:pPr>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用</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户：揭阳市绿源垃圾综合处理与资源利用厂</w:t>
      </w:r>
    </w:p>
    <w:p w14:paraId="48E993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项目地址：揭阳市揭东区玉窖镇中德金属生态城珠江大道东北侧</w:t>
      </w:r>
    </w:p>
    <w:p w14:paraId="50A6149F">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建设规模：1台750t/d垃圾焚烧炉，配套一台25MW的汽轮发电机组</w:t>
      </w:r>
      <w:r>
        <w:rPr>
          <w:rFonts w:hint="eastAsia" w:ascii="仿宋" w:hAnsi="仿宋" w:eastAsia="仿宋" w:cs="仿宋"/>
          <w:sz w:val="24"/>
          <w:szCs w:val="24"/>
          <w:highlight w:val="none"/>
          <w:lang w:eastAsia="zh-CN"/>
        </w:rPr>
        <w:t>。</w:t>
      </w:r>
    </w:p>
    <w:p w14:paraId="473A0084">
      <w:pPr>
        <w:spacing w:line="360" w:lineRule="auto"/>
        <w:ind w:left="-210" w:leftChars="-100"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垃圾处理规模：年垃圾处理量：36.5万吨/年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日垃圾处理量：1000吨</w:t>
      </w:r>
      <w:r>
        <w:rPr>
          <w:rFonts w:hint="eastAsia" w:ascii="仿宋" w:hAnsi="仿宋" w:eastAsia="仿宋" w:cs="仿宋"/>
          <w:sz w:val="24"/>
          <w:szCs w:val="24"/>
          <w:highlight w:val="none"/>
          <w:lang w:eastAsia="zh-CN"/>
        </w:rPr>
        <w:t>。</w:t>
      </w:r>
    </w:p>
    <w:p w14:paraId="5F7B57BE">
      <w:pPr>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垃圾焚烧炉：750t/d炉排焚烧炉</w:t>
      </w:r>
    </w:p>
    <w:p w14:paraId="458CC01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汽轮发电机组：1×25MW</w:t>
      </w:r>
    </w:p>
    <w:p w14:paraId="45A6D73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设备有效年可运行时数：8000小时及以上。</w:t>
      </w:r>
    </w:p>
    <w:p w14:paraId="6477C89D">
      <w:pPr>
        <w:spacing w:line="500" w:lineRule="exact"/>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二、项目总体要求</w:t>
      </w:r>
    </w:p>
    <w:p w14:paraId="717086F9">
      <w:pPr>
        <w:numPr>
          <w:ilvl w:val="0"/>
          <w:numId w:val="1"/>
        </w:num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w:t>
      </w:r>
      <w:r>
        <w:rPr>
          <w:rFonts w:hint="eastAsia" w:ascii="仿宋" w:hAnsi="仿宋" w:eastAsia="仿宋" w:cs="仿宋"/>
          <w:sz w:val="24"/>
          <w:szCs w:val="24"/>
          <w:highlight w:val="none"/>
          <w:lang w:val="en-US" w:eastAsia="zh-CN"/>
        </w:rPr>
        <w:t>需求书</w:t>
      </w:r>
      <w:r>
        <w:rPr>
          <w:rFonts w:hint="eastAsia" w:ascii="仿宋" w:hAnsi="仿宋" w:eastAsia="仿宋" w:cs="仿宋"/>
          <w:sz w:val="24"/>
          <w:szCs w:val="24"/>
          <w:highlight w:val="none"/>
        </w:rPr>
        <w:t>仅对欧晟绿色燃料（揭阳）有限公司所需的熟石灰技术、质量及服务等方面提出了相关的要求。</w:t>
      </w:r>
    </w:p>
    <w:p w14:paraId="616244A4">
      <w:pPr>
        <w:numPr>
          <w:ilvl w:val="0"/>
          <w:numId w:val="1"/>
        </w:num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本需求</w:t>
      </w:r>
      <w:r>
        <w:rPr>
          <w:rFonts w:hint="eastAsia" w:ascii="仿宋" w:hAnsi="仿宋" w:eastAsia="仿宋" w:cs="仿宋"/>
          <w:sz w:val="24"/>
          <w:szCs w:val="24"/>
          <w:highlight w:val="none"/>
          <w:lang w:val="en-US" w:eastAsia="zh-CN"/>
        </w:rPr>
        <w:t>书</w:t>
      </w:r>
      <w:r>
        <w:rPr>
          <w:rFonts w:hint="eastAsia" w:ascii="仿宋" w:hAnsi="仿宋" w:eastAsia="仿宋" w:cs="仿宋"/>
          <w:sz w:val="24"/>
          <w:szCs w:val="24"/>
          <w:highlight w:val="none"/>
        </w:rPr>
        <w:t>提出的是最低限度的技术要求，并未对一切技术细节作出规定，也未充分引述有关标准和规范的条文。</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应提供符合本规范书的优质产品，该产品还应满足相应的国家工业标准的要求。</w:t>
      </w:r>
    </w:p>
    <w:p w14:paraId="0986DE02">
      <w:pPr>
        <w:numPr>
          <w:ilvl w:val="0"/>
          <w:numId w:val="1"/>
        </w:numPr>
        <w:tabs>
          <w:tab w:val="left" w:pos="540"/>
        </w:tabs>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应按照</w:t>
      </w:r>
      <w:r>
        <w:rPr>
          <w:rFonts w:hint="eastAsia" w:ascii="仿宋" w:hAnsi="仿宋" w:eastAsia="仿宋" w:cs="仿宋"/>
          <w:sz w:val="24"/>
          <w:szCs w:val="24"/>
          <w:highlight w:val="none"/>
          <w:lang w:val="en-US" w:eastAsia="zh-CN"/>
        </w:rPr>
        <w:t>本需求书有关</w:t>
      </w:r>
      <w:r>
        <w:rPr>
          <w:rFonts w:hint="eastAsia" w:ascii="仿宋" w:hAnsi="仿宋" w:eastAsia="仿宋" w:cs="仿宋"/>
          <w:sz w:val="24"/>
          <w:szCs w:val="24"/>
          <w:highlight w:val="none"/>
        </w:rPr>
        <w:t>技术规范的相关内容做出全面响应，内容应包括技术规范上所有条款,并最大限度的满足或优于本技术规范条款的要求，并在投标文件中提供。</w:t>
      </w:r>
    </w:p>
    <w:p w14:paraId="66E4BBF2">
      <w:pPr>
        <w:numPr>
          <w:ilvl w:val="0"/>
          <w:numId w:val="1"/>
        </w:numPr>
        <w:snapToGrid w:val="0"/>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本技术需求书所使用的标准和规范如与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所执行的标准发生矛盾时，按较高标准执行。</w:t>
      </w:r>
    </w:p>
    <w:p w14:paraId="1A75D4E3">
      <w:pPr>
        <w:numPr>
          <w:ilvl w:val="0"/>
          <w:numId w:val="1"/>
        </w:numPr>
        <w:snapToGrid w:val="0"/>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提供货物所使用度量衡单位除技术规格中另有规定外,应统一用公制单位。</w:t>
      </w:r>
    </w:p>
    <w:p w14:paraId="1ADC5D85">
      <w:pPr>
        <w:numPr>
          <w:ilvl w:val="0"/>
          <w:numId w:val="1"/>
        </w:numPr>
        <w:snapToGrid w:val="0"/>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如果</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没有以书面形式对</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rPr>
        <w:t>需求书条文提出异议，则意味着</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提供的材料完全符合本</w:t>
      </w:r>
      <w:r>
        <w:rPr>
          <w:rFonts w:hint="eastAsia" w:ascii="仿宋" w:hAnsi="仿宋" w:eastAsia="仿宋" w:cs="仿宋"/>
          <w:sz w:val="24"/>
          <w:szCs w:val="24"/>
          <w:highlight w:val="none"/>
          <w:lang w:val="en-US" w:eastAsia="zh-CN"/>
        </w:rPr>
        <w:t>需求书</w:t>
      </w:r>
      <w:r>
        <w:rPr>
          <w:rFonts w:hint="eastAsia" w:ascii="仿宋" w:hAnsi="仿宋" w:eastAsia="仿宋" w:cs="仿宋"/>
          <w:sz w:val="24"/>
          <w:szCs w:val="24"/>
          <w:highlight w:val="none"/>
        </w:rPr>
        <w:t>的要求。如有异议，不管是多么微小，都应在“采购</w:t>
      </w:r>
      <w:r>
        <w:rPr>
          <w:rFonts w:hint="eastAsia" w:ascii="仿宋" w:hAnsi="仿宋" w:eastAsia="仿宋" w:cs="仿宋"/>
          <w:sz w:val="24"/>
          <w:szCs w:val="24"/>
          <w:highlight w:val="none"/>
          <w:lang w:val="en-US" w:eastAsia="zh-CN"/>
        </w:rPr>
        <w:t>需求反馈意见表</w:t>
      </w:r>
      <w:r>
        <w:rPr>
          <w:rFonts w:hint="eastAsia" w:ascii="仿宋" w:hAnsi="仿宋" w:eastAsia="仿宋" w:cs="仿宋"/>
          <w:sz w:val="24"/>
          <w:szCs w:val="24"/>
          <w:highlight w:val="none"/>
        </w:rPr>
        <w:t>”中加以详细描述。</w:t>
      </w:r>
    </w:p>
    <w:p w14:paraId="7BD2A1FB">
      <w:pPr>
        <w:numPr>
          <w:ilvl w:val="0"/>
          <w:numId w:val="1"/>
        </w:numPr>
        <w:snapToGrid w:val="0"/>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在签订合同之后，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有权提出一些因规范、标准、规程或工程情况发生变化而产生的补充要求，具体项目由双方共同商定，</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应积极配合并满足</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的合理要求。</w:t>
      </w:r>
    </w:p>
    <w:p w14:paraId="495DFD85">
      <w:pPr>
        <w:spacing w:line="500" w:lineRule="exact"/>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三、具体要求</w:t>
      </w:r>
    </w:p>
    <w:p w14:paraId="446A06F8">
      <w:pPr>
        <w:spacing w:line="500" w:lineRule="exact"/>
        <w:rPr>
          <w:rFonts w:hint="eastAsia" w:ascii="仿宋" w:hAnsi="仿宋" w:eastAsia="仿宋" w:cs="仿宋"/>
          <w:b/>
          <w:bCs/>
          <w:sz w:val="24"/>
          <w:szCs w:val="24"/>
          <w:highlight w:val="none"/>
        </w:rPr>
      </w:pPr>
      <w:bookmarkStart w:id="4" w:name="_Toc3185686"/>
      <w:r>
        <w:rPr>
          <w:rFonts w:hint="eastAsia" w:ascii="仿宋" w:hAnsi="仿宋" w:eastAsia="仿宋" w:cs="仿宋"/>
          <w:b/>
          <w:bCs/>
          <w:sz w:val="24"/>
          <w:szCs w:val="24"/>
          <w:highlight w:val="none"/>
        </w:rPr>
        <w:t>1.交货时间、地点</w:t>
      </w:r>
      <w:bookmarkEnd w:id="4"/>
    </w:p>
    <w:p w14:paraId="6116858D">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（1）交货地点：揭阳市揭东区玉窖镇中德金属生态城珠江大道东北侧揭阳绿源垃圾综合处理与资源利用厂烟气车间</w:t>
      </w:r>
    </w:p>
    <w:p w14:paraId="042A1673">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（2）交货时间：提前1日书面或电子邮件（或即时通讯工具如微信等）通知交货到厂，到货时间必须以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通知为准，因提前或延后到货所造成的损失由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因特殊原因无法按</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要求的时间送达，</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应及时通知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，并采取应急预案解决到货问题。</w:t>
      </w:r>
    </w:p>
    <w:p w14:paraId="1FE3AACB">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（3）供货周期：熟石灰共两种用途，干粉喷射石灰仓60m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,不定期喷射，供货周期以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要求为准；制浆用石灰仓150 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，预估可满足现场正常运行6天的存储量；实际供货周期以现场运行要求为准。</w:t>
      </w:r>
    </w:p>
    <w:p w14:paraId="4657899D">
      <w:pPr>
        <w:spacing w:line="500" w:lineRule="exact"/>
        <w:rPr>
          <w:rFonts w:hint="eastAsia" w:ascii="仿宋" w:hAnsi="仿宋" w:eastAsia="仿宋" w:cs="仿宋"/>
          <w:b/>
          <w:bCs/>
          <w:sz w:val="24"/>
          <w:szCs w:val="24"/>
          <w:highlight w:val="none"/>
        </w:rPr>
      </w:pPr>
      <w:bookmarkStart w:id="5" w:name="_Toc3185687"/>
      <w:r>
        <w:rPr>
          <w:rFonts w:hint="eastAsia" w:ascii="仿宋" w:hAnsi="仿宋" w:eastAsia="仿宋" w:cs="仿宋"/>
          <w:b/>
          <w:bCs/>
          <w:sz w:val="24"/>
          <w:szCs w:val="24"/>
          <w:highlight w:val="none"/>
        </w:rPr>
        <w:t>2.产品标准和规范</w:t>
      </w:r>
      <w:bookmarkEnd w:id="5"/>
    </w:p>
    <w:p w14:paraId="4FFE654B">
      <w:pPr>
        <w:pStyle w:val="5"/>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相关国家最新标准。</w:t>
      </w:r>
    </w:p>
    <w:p w14:paraId="53C9BFFB">
      <w:pPr>
        <w:spacing w:line="500" w:lineRule="exact"/>
        <w:rPr>
          <w:rFonts w:hint="eastAsia" w:ascii="仿宋" w:hAnsi="仿宋" w:eastAsia="仿宋" w:cs="仿宋"/>
          <w:b/>
          <w:bCs/>
          <w:sz w:val="24"/>
          <w:szCs w:val="24"/>
          <w:highlight w:val="none"/>
        </w:rPr>
      </w:pPr>
      <w:bookmarkStart w:id="6" w:name="_Toc3185688"/>
      <w:r>
        <w:rPr>
          <w:rFonts w:hint="eastAsia" w:ascii="仿宋" w:hAnsi="仿宋" w:eastAsia="仿宋" w:cs="仿宋"/>
          <w:b/>
          <w:bCs/>
          <w:sz w:val="24"/>
          <w:szCs w:val="24"/>
          <w:highlight w:val="none"/>
        </w:rPr>
        <w:t>3.供货范围</w:t>
      </w:r>
      <w:bookmarkEnd w:id="6"/>
    </w:p>
    <w:tbl>
      <w:tblPr>
        <w:tblStyle w:val="8"/>
        <w:tblW w:w="0" w:type="auto"/>
        <w:tblInd w:w="0" w:type="dxa"/>
        <w:tblLayout w:type="fixed"/>
        <w:tblCellMar>
          <w:top w:w="0" w:type="dxa"/>
          <w:left w:w="108" w:type="dxa"/>
          <w:bottom w:w="0" w:type="dxa"/>
          <w:right w:w="108" w:type="dxa"/>
        </w:tblCellMar>
      </w:tblPr>
      <w:tblGrid>
        <w:gridCol w:w="1768"/>
        <w:gridCol w:w="1352"/>
        <w:gridCol w:w="902"/>
        <w:gridCol w:w="2024"/>
        <w:gridCol w:w="1733"/>
        <w:gridCol w:w="1272"/>
      </w:tblGrid>
      <w:tr w14:paraId="33A102DB">
        <w:tblPrEx>
          <w:tblCellMar>
            <w:top w:w="0" w:type="dxa"/>
            <w:left w:w="108" w:type="dxa"/>
            <w:bottom w:w="0" w:type="dxa"/>
            <w:right w:w="108" w:type="dxa"/>
          </w:tblCellMar>
        </w:tblPrEx>
        <w:trPr>
          <w:trHeight w:val="561" w:hRule="atLeast"/>
        </w:trPr>
        <w:tc>
          <w:tcPr>
            <w:tcW w:w="1768" w:type="dxa"/>
            <w:tcBorders>
              <w:top w:val="single" w:color="000000" w:sz="4" w:space="0"/>
              <w:left w:val="single" w:color="000000" w:sz="4" w:space="0"/>
              <w:bottom w:val="single" w:color="000000" w:sz="4" w:space="0"/>
              <w:right w:val="single" w:color="000000" w:sz="4" w:space="0"/>
            </w:tcBorders>
            <w:noWrap w:val="0"/>
            <w:vAlign w:val="center"/>
          </w:tcPr>
          <w:p w14:paraId="58F0D98A">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产品名称</w:t>
            </w:r>
          </w:p>
        </w:tc>
        <w:tc>
          <w:tcPr>
            <w:tcW w:w="1352" w:type="dxa"/>
            <w:tcBorders>
              <w:top w:val="single" w:color="000000" w:sz="4" w:space="0"/>
              <w:left w:val="nil"/>
              <w:bottom w:val="single" w:color="000000" w:sz="4" w:space="0"/>
              <w:right w:val="single" w:color="000000" w:sz="4" w:space="0"/>
            </w:tcBorders>
            <w:noWrap w:val="0"/>
            <w:vAlign w:val="center"/>
          </w:tcPr>
          <w:p w14:paraId="4D9249EA">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902" w:type="dxa"/>
            <w:tcBorders>
              <w:top w:val="single" w:color="000000" w:sz="4" w:space="0"/>
              <w:left w:val="nil"/>
              <w:bottom w:val="single" w:color="000000" w:sz="4" w:space="0"/>
              <w:right w:val="single" w:color="000000" w:sz="4" w:space="0"/>
            </w:tcBorders>
            <w:noWrap w:val="0"/>
            <w:vAlign w:val="center"/>
          </w:tcPr>
          <w:p w14:paraId="1BE1417C">
            <w:pPr>
              <w:spacing w:line="5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预计</w:t>
            </w: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/年</w:t>
            </w:r>
          </w:p>
        </w:tc>
        <w:tc>
          <w:tcPr>
            <w:tcW w:w="2024" w:type="dxa"/>
            <w:tcBorders>
              <w:top w:val="single" w:color="000000" w:sz="4" w:space="0"/>
              <w:left w:val="nil"/>
              <w:bottom w:val="single" w:color="000000" w:sz="4" w:space="0"/>
              <w:right w:val="single" w:color="000000" w:sz="4" w:space="0"/>
            </w:tcBorders>
            <w:noWrap w:val="0"/>
            <w:vAlign w:val="center"/>
          </w:tcPr>
          <w:p w14:paraId="43E4C3E0">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用途</w:t>
            </w:r>
          </w:p>
        </w:tc>
        <w:tc>
          <w:tcPr>
            <w:tcW w:w="1733" w:type="dxa"/>
            <w:tcBorders>
              <w:top w:val="single" w:color="000000" w:sz="4" w:space="0"/>
              <w:left w:val="nil"/>
              <w:bottom w:val="single" w:color="000000" w:sz="4" w:space="0"/>
              <w:right w:val="single" w:color="000000" w:sz="4" w:space="0"/>
            </w:tcBorders>
            <w:noWrap w:val="0"/>
            <w:vAlign w:val="center"/>
          </w:tcPr>
          <w:p w14:paraId="6D0A41E2">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送货</w:t>
            </w:r>
          </w:p>
        </w:tc>
        <w:tc>
          <w:tcPr>
            <w:tcW w:w="1272" w:type="dxa"/>
            <w:tcBorders>
              <w:top w:val="single" w:color="000000" w:sz="4" w:space="0"/>
              <w:left w:val="nil"/>
              <w:bottom w:val="single" w:color="000000" w:sz="4" w:space="0"/>
              <w:right w:val="single" w:color="000000" w:sz="4" w:space="0"/>
            </w:tcBorders>
            <w:noWrap w:val="0"/>
            <w:vAlign w:val="top"/>
          </w:tcPr>
          <w:p w14:paraId="00E85F57">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供应期限</w:t>
            </w:r>
          </w:p>
        </w:tc>
      </w:tr>
      <w:tr w14:paraId="39DDED0B">
        <w:tblPrEx>
          <w:tblCellMar>
            <w:top w:w="0" w:type="dxa"/>
            <w:left w:w="108" w:type="dxa"/>
            <w:bottom w:w="0" w:type="dxa"/>
            <w:right w:w="108" w:type="dxa"/>
          </w:tblCellMar>
        </w:tblPrEx>
        <w:trPr>
          <w:trHeight w:val="1297" w:hRule="atLeast"/>
        </w:trPr>
        <w:tc>
          <w:tcPr>
            <w:tcW w:w="1768" w:type="dxa"/>
            <w:tcBorders>
              <w:top w:val="single" w:color="000000" w:sz="4" w:space="0"/>
              <w:left w:val="single" w:color="000000" w:sz="4" w:space="0"/>
              <w:bottom w:val="single" w:color="000000" w:sz="4" w:space="0"/>
              <w:right w:val="single" w:color="000000" w:sz="4" w:space="0"/>
            </w:tcBorders>
            <w:noWrap w:val="0"/>
            <w:vAlign w:val="center"/>
          </w:tcPr>
          <w:p w14:paraId="766ADF8E">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熟石灰</w:t>
            </w:r>
          </w:p>
        </w:tc>
        <w:tc>
          <w:tcPr>
            <w:tcW w:w="1352" w:type="dxa"/>
            <w:tcBorders>
              <w:top w:val="single" w:color="000000" w:sz="4" w:space="0"/>
              <w:left w:val="nil"/>
              <w:bottom w:val="single" w:color="000000" w:sz="4" w:space="0"/>
              <w:right w:val="single" w:color="000000" w:sz="4" w:space="0"/>
            </w:tcBorders>
            <w:noWrap w:val="0"/>
            <w:vAlign w:val="center"/>
          </w:tcPr>
          <w:p w14:paraId="5E253DBA">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吨</w:t>
            </w:r>
          </w:p>
        </w:tc>
        <w:tc>
          <w:tcPr>
            <w:tcW w:w="902" w:type="dxa"/>
            <w:tcBorders>
              <w:top w:val="single" w:color="000000" w:sz="4" w:space="0"/>
              <w:left w:val="nil"/>
              <w:bottom w:val="single" w:color="000000" w:sz="4" w:space="0"/>
              <w:right w:val="single" w:color="000000" w:sz="4" w:space="0"/>
            </w:tcBorders>
            <w:noWrap w:val="0"/>
            <w:vAlign w:val="center"/>
          </w:tcPr>
          <w:p w14:paraId="6EA6CB02">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00</w:t>
            </w:r>
          </w:p>
        </w:tc>
        <w:tc>
          <w:tcPr>
            <w:tcW w:w="2024" w:type="dxa"/>
            <w:tcBorders>
              <w:top w:val="single" w:color="000000" w:sz="4" w:space="0"/>
              <w:left w:val="nil"/>
              <w:bottom w:val="single" w:color="000000" w:sz="4" w:space="0"/>
              <w:right w:val="single" w:color="000000" w:sz="4" w:space="0"/>
            </w:tcBorders>
            <w:noWrap w:val="0"/>
            <w:vAlign w:val="center"/>
          </w:tcPr>
          <w:p w14:paraId="7BA12518">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石灰制浆/干粉</w:t>
            </w:r>
          </w:p>
        </w:tc>
        <w:tc>
          <w:tcPr>
            <w:tcW w:w="1733" w:type="dxa"/>
            <w:tcBorders>
              <w:top w:val="single" w:color="000000" w:sz="4" w:space="0"/>
              <w:left w:val="nil"/>
              <w:bottom w:val="single" w:color="000000" w:sz="4" w:space="0"/>
              <w:right w:val="single" w:color="000000" w:sz="4" w:space="0"/>
            </w:tcBorders>
            <w:noWrap w:val="0"/>
            <w:vAlign w:val="center"/>
          </w:tcPr>
          <w:p w14:paraId="62964801">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按现场需求分批送货</w:t>
            </w:r>
          </w:p>
        </w:tc>
        <w:tc>
          <w:tcPr>
            <w:tcW w:w="1272" w:type="dxa"/>
            <w:tcBorders>
              <w:top w:val="single" w:color="000000" w:sz="4" w:space="0"/>
              <w:left w:val="nil"/>
              <w:bottom w:val="single" w:color="000000" w:sz="4" w:space="0"/>
              <w:right w:val="single" w:color="000000" w:sz="4" w:space="0"/>
            </w:tcBorders>
            <w:noWrap w:val="0"/>
            <w:vAlign w:val="center"/>
          </w:tcPr>
          <w:p w14:paraId="41200D35">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3年（36个月），合同一年一签</w:t>
            </w:r>
            <w:r>
              <w:rPr>
                <w:rFonts w:hint="eastAsia" w:ascii="仿宋" w:hAnsi="仿宋" w:eastAsia="仿宋" w:cs="仿宋"/>
                <w:sz w:val="24"/>
                <w:szCs w:val="24"/>
                <w:highlight w:val="none"/>
              </w:rPr>
              <w:t>。</w:t>
            </w:r>
          </w:p>
        </w:tc>
      </w:tr>
    </w:tbl>
    <w:p w14:paraId="036908BA">
      <w:pPr>
        <w:spacing w:line="500" w:lineRule="exact"/>
        <w:rPr>
          <w:rFonts w:hint="eastAsia" w:ascii="仿宋" w:hAnsi="仿宋" w:eastAsia="仿宋" w:cs="仿宋"/>
          <w:b/>
          <w:sz w:val="24"/>
          <w:szCs w:val="24"/>
          <w:highlight w:val="none"/>
        </w:rPr>
      </w:pPr>
      <w:bookmarkStart w:id="7" w:name="_Toc3185689"/>
      <w:r>
        <w:rPr>
          <w:rFonts w:hint="eastAsia" w:ascii="仿宋" w:hAnsi="仿宋" w:eastAsia="仿宋" w:cs="仿宋"/>
          <w:b/>
          <w:sz w:val="24"/>
          <w:szCs w:val="24"/>
          <w:highlight w:val="none"/>
        </w:rPr>
        <w:t>注：表中数量为预估需求数量，实际需求数量会依照生产情况变动，结算以实际供货数量为准，</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供货能力不得低于上述数量要求。</w:t>
      </w:r>
    </w:p>
    <w:p w14:paraId="6A1E7D17">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w:t>
      </w:r>
      <w:r>
        <w:rPr>
          <w:rFonts w:hint="eastAsia" w:ascii="仿宋" w:hAnsi="仿宋" w:eastAsia="仿宋" w:cs="仿宋"/>
          <w:b/>
          <w:sz w:val="24"/>
          <w:szCs w:val="24"/>
          <w:highlight w:val="none"/>
        </w:rPr>
        <w:t xml:space="preserve"> </w:t>
      </w:r>
      <w:r>
        <w:rPr>
          <w:rFonts w:hint="eastAsia" w:ascii="仿宋" w:hAnsi="仿宋" w:eastAsia="仿宋" w:cs="仿宋"/>
          <w:b/>
          <w:bCs/>
          <w:sz w:val="24"/>
          <w:szCs w:val="24"/>
          <w:highlight w:val="none"/>
        </w:rPr>
        <w:t>技术要求</w:t>
      </w:r>
      <w:bookmarkEnd w:id="7"/>
    </w:p>
    <w:p w14:paraId="0BB44440">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熟石灰 Ca(OH)</w:t>
      </w:r>
      <w:r>
        <w:rPr>
          <w:rFonts w:hint="eastAsia" w:ascii="仿宋" w:hAnsi="仿宋" w:eastAsia="仿宋" w:cs="仿宋"/>
          <w:b/>
          <w:sz w:val="24"/>
          <w:szCs w:val="24"/>
          <w:highlight w:val="none"/>
        </w:rPr>
        <w:softHyphen/>
      </w:r>
      <w:r>
        <w:rPr>
          <w:rFonts w:hint="eastAsia" w:ascii="仿宋" w:hAnsi="仿宋" w:eastAsia="仿宋" w:cs="仿宋"/>
          <w:b/>
          <w:sz w:val="24"/>
          <w:szCs w:val="24"/>
          <w:highlight w:val="none"/>
        </w:rPr>
        <w:t>2</w:t>
      </w:r>
    </w:p>
    <w:p w14:paraId="239E53F2">
      <w:pPr>
        <w:numPr>
          <w:ilvl w:val="0"/>
          <w:numId w:val="2"/>
        </w:num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Ca(OH)2纯度 ≥90%</w:t>
      </w:r>
    </w:p>
    <w:p w14:paraId="29BD3AE8">
      <w:pPr>
        <w:numPr>
          <w:ilvl w:val="0"/>
          <w:numId w:val="2"/>
        </w:num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细度：325目</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以上</w:t>
      </w:r>
    </w:p>
    <w:p w14:paraId="473AD604">
      <w:pPr>
        <w:numPr>
          <w:ilvl w:val="0"/>
          <w:numId w:val="2"/>
        </w:num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外观：灰白色粉末</w:t>
      </w:r>
    </w:p>
    <w:p w14:paraId="7DCADCFF">
      <w:pPr>
        <w:numPr>
          <w:ilvl w:val="0"/>
          <w:numId w:val="2"/>
        </w:num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使用密封良好的槽罐车运输，送到</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设备进料管接口处，在</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进料管接口之前所有</w:t>
      </w:r>
    </w:p>
    <w:p w14:paraId="0FBECD65">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工作，包括接管、上料等均由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w:t>
      </w:r>
      <w:r>
        <w:rPr>
          <w:rFonts w:hint="eastAsia" w:ascii="仿宋" w:hAnsi="仿宋" w:eastAsia="仿宋" w:cs="仿宋"/>
          <w:b/>
          <w:sz w:val="24"/>
          <w:szCs w:val="24"/>
          <w:highlight w:val="none"/>
        </w:rPr>
        <w:t>要明确的是，</w:t>
      </w:r>
      <w:r>
        <w:rPr>
          <w:rFonts w:hint="eastAsia" w:ascii="仿宋" w:hAnsi="仿宋" w:eastAsia="仿宋" w:cs="仿宋"/>
          <w:b/>
          <w:sz w:val="24"/>
          <w:szCs w:val="24"/>
          <w:highlight w:val="none"/>
          <w:lang w:eastAsia="zh-CN"/>
        </w:rPr>
        <w:t>采购人</w:t>
      </w:r>
      <w:r>
        <w:rPr>
          <w:rFonts w:hint="eastAsia" w:ascii="仿宋" w:hAnsi="仿宋" w:eastAsia="仿宋" w:cs="仿宋"/>
          <w:b/>
          <w:sz w:val="24"/>
          <w:szCs w:val="24"/>
          <w:highlight w:val="none"/>
        </w:rPr>
        <w:t>熟石灰仓共两个，仓顶标高分别为19.9m和11m，</w:t>
      </w:r>
      <w:r>
        <w:rPr>
          <w:rFonts w:hint="eastAsia" w:ascii="仿宋" w:hAnsi="仿宋" w:eastAsia="仿宋" w:cs="仿宋"/>
          <w:b/>
          <w:sz w:val="24"/>
          <w:szCs w:val="24"/>
          <w:highlight w:val="none"/>
          <w:lang w:eastAsia="zh-CN"/>
        </w:rPr>
        <w:t>采购人</w:t>
      </w:r>
      <w:r>
        <w:rPr>
          <w:rFonts w:hint="eastAsia" w:ascii="仿宋" w:hAnsi="仿宋" w:eastAsia="仿宋" w:cs="仿宋"/>
          <w:b/>
          <w:sz w:val="24"/>
          <w:szCs w:val="24"/>
          <w:highlight w:val="none"/>
        </w:rPr>
        <w:t>从仓顶引出一根进料管到地面约0.3m处，</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将罐车物料出口管接到</w:t>
      </w:r>
      <w:r>
        <w:rPr>
          <w:rFonts w:hint="eastAsia" w:ascii="仿宋" w:hAnsi="仿宋" w:eastAsia="仿宋" w:cs="仿宋"/>
          <w:b/>
          <w:sz w:val="24"/>
          <w:szCs w:val="24"/>
          <w:highlight w:val="none"/>
          <w:lang w:eastAsia="zh-CN"/>
        </w:rPr>
        <w:t>采购人</w:t>
      </w:r>
      <w:r>
        <w:rPr>
          <w:rFonts w:hint="eastAsia" w:ascii="仿宋" w:hAnsi="仿宋" w:eastAsia="仿宋" w:cs="仿宋"/>
          <w:b/>
          <w:sz w:val="24"/>
          <w:szCs w:val="24"/>
          <w:highlight w:val="none"/>
        </w:rPr>
        <w:t>进料管接口处，</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必须考虑把熟石灰打到熟石灰仓所需的压力。</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承担运输、上料的费用。</w:t>
      </w:r>
    </w:p>
    <w:p w14:paraId="211BB4F7">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四、其它要求</w:t>
      </w:r>
    </w:p>
    <w:p w14:paraId="63FDE0E5">
      <w:pPr>
        <w:numPr>
          <w:ilvl w:val="0"/>
          <w:numId w:val="3"/>
        </w:num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验收及质量要求</w:t>
      </w:r>
    </w:p>
    <w:p w14:paraId="2A8E2FE6">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负责将每批次货物运抵</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厂区指定的地点，货到后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需到</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地磅过磅（必须提供每一批货物的出厂化验报告，要求必须签字盖章。无出厂化验报告，禁止过磅），过磅后货到</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指定地点，在经双方见证下取样后，方可卸货。卸货后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必须再次到</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地磅过空磅，签字确认并拿取过磅单后，方可离厂。</w:t>
      </w:r>
    </w:p>
    <w:p w14:paraId="22798B53">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（2）产品重要参数出现一次质量不符合招标要求，</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有权没收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该批次产品，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须赔偿</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由此引起的一切损失，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必须在12小时内做出合理书面的解释，并书面承诺最快的时间内送达合格的产品给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。产品累计达二次不合格情况，</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有权取消</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供货资格，并追索一切相关经济责任。</w:t>
      </w:r>
    </w:p>
    <w:p w14:paraId="51DE5226">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（3）厂内检测及第三方检测：每次供货后，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双方将共同取样封存。由</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在厂内进行检测，如检测结果不达标将送往双方共同认为资质的第三方检测机构进行检测，检测费用由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承担。检测报告作为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进行结算的附件，如检测报告证明物料质量存在问题，则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将不予支付该次物料费用，并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须承担由此给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造成的一切损失。如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对送检样品的检测结果有异议，由双方将共同封存的同批次样品送往</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所在地市级以上法定质检机构检验。如第二次检验结果表明货物质量不合格，</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将按规定承担</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的损失及额外的所有检测费用。</w:t>
      </w:r>
    </w:p>
    <w:p w14:paraId="730C89DD">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在运行生产使用过程中，</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的产品被</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上级主管部门检查质量不合格，并对</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进行做出相关处罚，由此所产生的责任全由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w:t>
      </w:r>
    </w:p>
    <w:p w14:paraId="4D902F37">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在领取中标通知书时必须提供样品及检测报告，样品质量需符合</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需求，并作为合同签订后货物质量检验的依据，即送货时的货物质量不得低于样品质量，否则视为不合格。</w:t>
      </w:r>
    </w:p>
    <w:p w14:paraId="38DACDAD">
      <w:pPr>
        <w:numPr>
          <w:ilvl w:val="0"/>
          <w:numId w:val="4"/>
        </w:numPr>
        <w:spacing w:line="500" w:lineRule="exact"/>
        <w:rPr>
          <w:rFonts w:hint="eastAsia" w:ascii="仿宋" w:hAnsi="仿宋" w:eastAsia="仿宋" w:cs="仿宋"/>
          <w:b/>
          <w:bCs/>
          <w:sz w:val="24"/>
          <w:szCs w:val="24"/>
          <w:highlight w:val="none"/>
        </w:rPr>
      </w:pPr>
      <w:bookmarkStart w:id="8" w:name="_Toc3185908"/>
      <w:r>
        <w:rPr>
          <w:rFonts w:hint="eastAsia" w:ascii="仿宋" w:hAnsi="仿宋" w:eastAsia="仿宋" w:cs="仿宋"/>
          <w:b/>
          <w:bCs/>
          <w:sz w:val="24"/>
          <w:szCs w:val="24"/>
          <w:highlight w:val="none"/>
        </w:rPr>
        <w:t>工厂检验、设备监造、包装运输及验收</w:t>
      </w:r>
      <w:bookmarkEnd w:id="8"/>
    </w:p>
    <w:p w14:paraId="370A5848">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（1）各材料出厂前必须鉴定合格，具有出厂化验报告。</w:t>
      </w:r>
    </w:p>
    <w:p w14:paraId="04926EA5">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（2）使用密封良好的槽罐车运输。</w:t>
      </w:r>
    </w:p>
    <w:p w14:paraId="10D80E86">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（3）材料到达现场后，将按规定储存。如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有特殊要求，应向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及早提出。</w:t>
      </w:r>
    </w:p>
    <w:p w14:paraId="59A35D67">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（4）开始交货时间应为项目投入使用后，具体时间以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通知为准。</w:t>
      </w:r>
    </w:p>
    <w:p w14:paraId="27874F05">
      <w:pPr>
        <w:numPr>
          <w:ilvl w:val="0"/>
          <w:numId w:val="5"/>
        </w:numPr>
        <w:spacing w:line="500" w:lineRule="exact"/>
        <w:rPr>
          <w:rFonts w:hint="eastAsia" w:ascii="仿宋" w:hAnsi="仿宋" w:eastAsia="仿宋" w:cs="仿宋"/>
          <w:b/>
          <w:bCs/>
          <w:sz w:val="24"/>
          <w:szCs w:val="24"/>
          <w:highlight w:val="none"/>
        </w:rPr>
      </w:pPr>
      <w:bookmarkStart w:id="9" w:name="_Toc3185909"/>
      <w:r>
        <w:rPr>
          <w:rFonts w:hint="eastAsia" w:ascii="仿宋" w:hAnsi="仿宋" w:eastAsia="仿宋" w:cs="仿宋"/>
          <w:b/>
          <w:bCs/>
          <w:sz w:val="24"/>
          <w:szCs w:val="24"/>
          <w:highlight w:val="none"/>
        </w:rPr>
        <w:t>技术资料交付和要求</w:t>
      </w:r>
      <w:bookmarkEnd w:id="9"/>
    </w:p>
    <w:p w14:paraId="2850268B">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应提供产品质量证明书、出厂化验报告、第三方检测报告、产品说明和使用说明等相关资料。</w:t>
      </w:r>
    </w:p>
    <w:p w14:paraId="688370E4">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（2）各说明书应至少包括详细的技术参数和使用说明。</w:t>
      </w:r>
    </w:p>
    <w:p w14:paraId="27858E87">
      <w:pPr>
        <w:numPr>
          <w:ilvl w:val="0"/>
          <w:numId w:val="6"/>
        </w:numPr>
        <w:spacing w:line="500" w:lineRule="exact"/>
        <w:rPr>
          <w:rFonts w:hint="eastAsia" w:ascii="仿宋" w:hAnsi="仿宋" w:eastAsia="仿宋" w:cs="仿宋"/>
          <w:b/>
          <w:bCs/>
          <w:sz w:val="24"/>
          <w:szCs w:val="24"/>
          <w:highlight w:val="none"/>
        </w:rPr>
      </w:pPr>
      <w:bookmarkStart w:id="10" w:name="_Toc382572304"/>
      <w:bookmarkStart w:id="11" w:name="_Toc3185910"/>
      <w:r>
        <w:rPr>
          <w:rFonts w:hint="eastAsia" w:ascii="仿宋" w:hAnsi="仿宋" w:eastAsia="仿宋" w:cs="仿宋"/>
          <w:b/>
          <w:bCs/>
          <w:sz w:val="24"/>
          <w:szCs w:val="24"/>
          <w:highlight w:val="none"/>
        </w:rPr>
        <w:t>技术服务</w:t>
      </w:r>
      <w:bookmarkEnd w:id="10"/>
      <w:bookmarkEnd w:id="11"/>
    </w:p>
    <w:p w14:paraId="365EB4C2">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负责选派有经验的技术人员做好售后服务工作，包括材料的到货验收、取样、送检等。</w:t>
      </w:r>
    </w:p>
    <w:p w14:paraId="5A9FF174">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（2）材料在质保期外期间，</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有义务长期进行技术服务。</w:t>
      </w:r>
    </w:p>
    <w:p w14:paraId="15DCFF26">
      <w:pPr>
        <w:numPr>
          <w:ilvl w:val="0"/>
          <w:numId w:val="7"/>
        </w:numPr>
        <w:spacing w:line="500" w:lineRule="exact"/>
        <w:rPr>
          <w:rFonts w:hint="eastAsia" w:ascii="仿宋" w:hAnsi="仿宋" w:eastAsia="仿宋" w:cs="仿宋"/>
          <w:b/>
          <w:bCs/>
          <w:sz w:val="24"/>
          <w:szCs w:val="24"/>
          <w:highlight w:val="none"/>
        </w:rPr>
      </w:pPr>
      <w:bookmarkStart w:id="12" w:name="_Toc3185911"/>
      <w:r>
        <w:rPr>
          <w:rFonts w:hint="eastAsia" w:ascii="仿宋" w:hAnsi="仿宋" w:eastAsia="仿宋" w:cs="仿宋"/>
          <w:b/>
          <w:bCs/>
          <w:sz w:val="24"/>
          <w:szCs w:val="24"/>
          <w:highlight w:val="none"/>
        </w:rPr>
        <w:t>质量保证和性能验收</w:t>
      </w:r>
      <w:bookmarkEnd w:id="12"/>
    </w:p>
    <w:p w14:paraId="756E8307">
      <w:pPr>
        <w:pStyle w:val="17"/>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应采取措施确保所购材料的质量，产品交货前，应对材料进行必要的检验，以保证符合规程、使用性能要求。</w:t>
      </w:r>
    </w:p>
    <w:p w14:paraId="3CEF1BC3">
      <w:pPr>
        <w:pStyle w:val="17"/>
        <w:snapToGrid w:val="0"/>
        <w:spacing w:line="500" w:lineRule="exact"/>
        <w:ind w:firstLine="480" w:firstLineChars="200"/>
        <w:rPr>
          <w:rFonts w:hint="eastAsia" w:ascii="仿宋" w:hAnsi="仿宋" w:eastAsia="仿宋" w:cs="仿宋"/>
          <w:sz w:val="24"/>
          <w:szCs w:val="24"/>
          <w:highlight w:val="none"/>
        </w:rPr>
      </w:pPr>
      <w:bookmarkStart w:id="13" w:name="_Toc522445240"/>
      <w:bookmarkStart w:id="14" w:name="_Toc522436908"/>
      <w:r>
        <w:rPr>
          <w:rFonts w:hint="eastAsia" w:ascii="仿宋" w:hAnsi="仿宋" w:eastAsia="仿宋" w:cs="仿宋"/>
          <w:sz w:val="24"/>
          <w:szCs w:val="24"/>
          <w:highlight w:val="none"/>
        </w:rPr>
        <w:t>（2）如产品质量和性能与标准不符时，</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有权拒绝验收，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应负责更换或赔偿。</w:t>
      </w:r>
      <w:bookmarkEnd w:id="13"/>
      <w:bookmarkEnd w:id="14"/>
    </w:p>
    <w:p w14:paraId="2999C898">
      <w:pPr>
        <w:pStyle w:val="17"/>
        <w:snapToGrid w:val="0"/>
        <w:spacing w:line="500" w:lineRule="exact"/>
        <w:ind w:firstLine="420" w:firstLineChars="200"/>
        <w:rPr>
          <w:rFonts w:hint="eastAsia" w:ascii="宋体" w:hAnsi="宋体"/>
          <w:sz w:val="21"/>
          <w:szCs w:val="21"/>
          <w:highlight w:val="none"/>
        </w:rPr>
      </w:pPr>
    </w:p>
    <w:bookmarkEnd w:id="0"/>
    <w:bookmarkEnd w:id="1"/>
    <w:bookmarkEnd w:id="2"/>
    <w:bookmarkEnd w:id="3"/>
    <w:p w14:paraId="254152A9">
      <w:pPr>
        <w:spacing w:after="0" w:line="360" w:lineRule="auto"/>
        <w:jc w:val="both"/>
        <w:rPr>
          <w:rFonts w:hint="eastAsia" w:ascii="仿宋" w:hAnsi="仿宋" w:eastAsia="仿宋" w:cs="仿宋"/>
          <w:b/>
          <w:bCs/>
          <w:color w:val="auto"/>
          <w:kern w:val="44"/>
          <w:sz w:val="28"/>
          <w:szCs w:val="28"/>
          <w:highlight w:val="none"/>
          <w:lang w:val="en-US" w:eastAsia="zh-CN"/>
        </w:rPr>
      </w:pPr>
      <w:r>
        <w:rPr>
          <w:rFonts w:hint="eastAsia" w:ascii="仿宋" w:hAnsi="仿宋" w:eastAsia="仿宋" w:cs="仿宋"/>
          <w:b/>
          <w:bCs/>
          <w:color w:val="auto"/>
          <w:kern w:val="44"/>
          <w:sz w:val="28"/>
          <w:szCs w:val="28"/>
          <w:highlight w:val="none"/>
          <w:lang w:val="en-US" w:eastAsia="zh-CN"/>
        </w:rPr>
        <w:t>附件3</w:t>
      </w:r>
    </w:p>
    <w:p w14:paraId="53BFBF8B">
      <w:pPr>
        <w:widowControl/>
        <w:kinsoku/>
        <w:autoSpaceDE/>
        <w:autoSpaceDN/>
        <w:adjustRightInd/>
        <w:snapToGrid/>
        <w:spacing w:after="0" w:line="360" w:lineRule="auto"/>
        <w:jc w:val="center"/>
        <w:textAlignment w:val="auto"/>
        <w:rPr>
          <w:rFonts w:hint="eastAsia" w:ascii="仿宋" w:hAnsi="仿宋" w:eastAsia="仿宋" w:cs="仿宋"/>
          <w:b/>
          <w:snapToGrid/>
          <w:kern w:val="2"/>
          <w:sz w:val="28"/>
          <w:szCs w:val="28"/>
          <w:highlight w:val="none"/>
          <w:lang w:val="en-US" w:eastAsia="zh-CN"/>
        </w:rPr>
      </w:pPr>
      <w:r>
        <w:rPr>
          <w:rFonts w:hint="eastAsia" w:ascii="仿宋" w:hAnsi="仿宋" w:eastAsia="仿宋" w:cs="仿宋"/>
          <w:b/>
          <w:snapToGrid/>
          <w:kern w:val="2"/>
          <w:sz w:val="28"/>
          <w:szCs w:val="28"/>
          <w:highlight w:val="none"/>
          <w:lang w:eastAsia="zh-CN"/>
        </w:rPr>
        <w:t>采购需求反馈意见</w:t>
      </w:r>
      <w:r>
        <w:rPr>
          <w:rFonts w:hint="eastAsia" w:ascii="仿宋" w:hAnsi="仿宋" w:eastAsia="仿宋" w:cs="仿宋"/>
          <w:b/>
          <w:snapToGrid/>
          <w:kern w:val="2"/>
          <w:sz w:val="28"/>
          <w:szCs w:val="28"/>
          <w:highlight w:val="none"/>
          <w:lang w:val="en-US" w:eastAsia="zh-CN"/>
        </w:rPr>
        <w:t>或建议</w:t>
      </w:r>
    </w:p>
    <w:tbl>
      <w:tblPr>
        <w:tblStyle w:val="8"/>
        <w:tblW w:w="0" w:type="auto"/>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3898"/>
        <w:gridCol w:w="3984"/>
      </w:tblGrid>
      <w:tr w14:paraId="646098C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0" w:type="auto"/>
            <w:tcBorders>
              <w:tl2br w:val="nil"/>
              <w:tr2bl w:val="nil"/>
            </w:tcBorders>
            <w:noWrap w:val="0"/>
            <w:vAlign w:val="center"/>
          </w:tcPr>
          <w:p w14:paraId="6942B852">
            <w:pPr>
              <w:pStyle w:val="16"/>
              <w:kinsoku w:val="0"/>
              <w:overflowPunct w:val="0"/>
              <w:snapToGrid/>
              <w:spacing w:after="0" w:line="360" w:lineRule="auto"/>
              <w:ind w:firstLine="0" w:firstLineChars="0"/>
              <w:jc w:val="center"/>
              <w:textAlignment w:val="auto"/>
              <w:rPr>
                <w:rFonts w:hint="eastAsia" w:ascii="仿宋" w:hAnsi="仿宋" w:eastAsia="仿宋" w:cs="仿宋"/>
                <w:b w:val="0"/>
                <w:bCs w:val="0"/>
                <w:snapToGrid/>
                <w:sz w:val="28"/>
                <w:szCs w:val="28"/>
                <w:highlight w:val="none"/>
                <w:lang w:val="en-US" w:eastAsia="zh-CN"/>
              </w:rPr>
            </w:pPr>
            <w:r>
              <w:rPr>
                <w:rFonts w:hint="eastAsia" w:ascii="仿宋" w:hAnsi="仿宋" w:eastAsia="仿宋" w:cs="仿宋"/>
                <w:b w:val="0"/>
                <w:bCs w:val="0"/>
                <w:snapToGrid/>
                <w:sz w:val="28"/>
                <w:szCs w:val="28"/>
                <w:highlight w:val="none"/>
                <w:lang w:val="en-US" w:eastAsia="zh-CN"/>
              </w:rPr>
              <w:t>序号</w:t>
            </w:r>
          </w:p>
        </w:tc>
        <w:tc>
          <w:tcPr>
            <w:tcW w:w="4510" w:type="dxa"/>
            <w:tcBorders>
              <w:tl2br w:val="nil"/>
              <w:tr2bl w:val="nil"/>
            </w:tcBorders>
            <w:noWrap w:val="0"/>
            <w:vAlign w:val="center"/>
          </w:tcPr>
          <w:p w14:paraId="719DA642">
            <w:pPr>
              <w:pStyle w:val="16"/>
              <w:kinsoku w:val="0"/>
              <w:overflowPunct w:val="0"/>
              <w:snapToGrid/>
              <w:spacing w:after="0" w:line="360" w:lineRule="auto"/>
              <w:ind w:firstLine="0" w:firstLineChars="0"/>
              <w:jc w:val="center"/>
              <w:textAlignment w:val="auto"/>
              <w:rPr>
                <w:rFonts w:hint="eastAsia" w:ascii="仿宋" w:hAnsi="仿宋" w:eastAsia="仿宋" w:cs="仿宋"/>
                <w:b w:val="0"/>
                <w:bCs w:val="0"/>
                <w:snapToGrid/>
                <w:sz w:val="28"/>
                <w:szCs w:val="28"/>
                <w:highlight w:val="none"/>
                <w:lang w:val="en-US" w:eastAsia="zh-CN"/>
              </w:rPr>
            </w:pPr>
            <w:r>
              <w:rPr>
                <w:rFonts w:hint="eastAsia" w:ascii="仿宋" w:hAnsi="仿宋" w:eastAsia="仿宋" w:cs="仿宋"/>
                <w:b w:val="0"/>
                <w:bCs w:val="0"/>
                <w:snapToGrid/>
                <w:sz w:val="28"/>
                <w:szCs w:val="28"/>
                <w:highlight w:val="none"/>
                <w:lang w:val="en-US" w:eastAsia="zh-CN"/>
              </w:rPr>
              <w:t>需求原条文</w:t>
            </w:r>
          </w:p>
        </w:tc>
        <w:tc>
          <w:tcPr>
            <w:tcW w:w="4612" w:type="dxa"/>
            <w:tcBorders>
              <w:tl2br w:val="nil"/>
              <w:tr2bl w:val="nil"/>
            </w:tcBorders>
            <w:noWrap w:val="0"/>
            <w:vAlign w:val="center"/>
          </w:tcPr>
          <w:p w14:paraId="2AD0C78B">
            <w:pPr>
              <w:pStyle w:val="16"/>
              <w:kinsoku w:val="0"/>
              <w:overflowPunct w:val="0"/>
              <w:snapToGrid/>
              <w:spacing w:after="0" w:line="360" w:lineRule="auto"/>
              <w:ind w:firstLine="0" w:firstLineChars="0"/>
              <w:jc w:val="center"/>
              <w:textAlignment w:val="auto"/>
              <w:rPr>
                <w:rFonts w:hint="eastAsia" w:ascii="仿宋" w:hAnsi="仿宋" w:eastAsia="仿宋" w:cs="仿宋"/>
                <w:b w:val="0"/>
                <w:bCs w:val="0"/>
                <w:snapToGrid/>
                <w:sz w:val="28"/>
                <w:szCs w:val="28"/>
                <w:highlight w:val="none"/>
                <w:lang w:val="en-US" w:eastAsia="zh-CN"/>
              </w:rPr>
            </w:pPr>
            <w:r>
              <w:rPr>
                <w:rFonts w:hint="eastAsia" w:ascii="仿宋" w:hAnsi="仿宋" w:eastAsia="仿宋" w:cs="仿宋"/>
                <w:b w:val="0"/>
                <w:bCs w:val="0"/>
                <w:snapToGrid/>
                <w:sz w:val="28"/>
                <w:szCs w:val="28"/>
                <w:highlight w:val="none"/>
                <w:lang w:val="en-US" w:eastAsia="zh-CN"/>
              </w:rPr>
              <w:t>意见或建议</w:t>
            </w:r>
          </w:p>
        </w:tc>
      </w:tr>
      <w:tr w14:paraId="01A30E6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1DD2B58B">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highlight w:val="none"/>
                <w:lang w:val="en-US" w:eastAsia="zh-CN"/>
              </w:rPr>
            </w:pPr>
            <w:r>
              <w:rPr>
                <w:rFonts w:hint="eastAsia" w:ascii="仿宋" w:hAnsi="仿宋" w:eastAsia="仿宋" w:cs="仿宋"/>
                <w:b/>
                <w:bCs/>
                <w:snapToGrid/>
                <w:kern w:val="2"/>
                <w:sz w:val="28"/>
                <w:szCs w:val="28"/>
                <w:highlight w:val="none"/>
                <w:lang w:val="en-US" w:eastAsia="zh-CN"/>
              </w:rPr>
              <w:t>1</w:t>
            </w:r>
          </w:p>
        </w:tc>
        <w:tc>
          <w:tcPr>
            <w:tcW w:w="4510" w:type="dxa"/>
            <w:tcBorders>
              <w:tl2br w:val="nil"/>
              <w:tr2bl w:val="nil"/>
            </w:tcBorders>
            <w:noWrap w:val="0"/>
            <w:vAlign w:val="center"/>
          </w:tcPr>
          <w:p w14:paraId="6C5AAB6A">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color w:val="000000"/>
                <w:kern w:val="2"/>
                <w:sz w:val="28"/>
                <w:szCs w:val="28"/>
                <w:highlight w:val="none"/>
                <w:lang w:val="en-US" w:eastAsia="zh-CN"/>
              </w:rPr>
            </w:pPr>
          </w:p>
        </w:tc>
        <w:tc>
          <w:tcPr>
            <w:tcW w:w="4612" w:type="dxa"/>
            <w:tcBorders>
              <w:tl2br w:val="nil"/>
              <w:tr2bl w:val="nil"/>
            </w:tcBorders>
            <w:noWrap w:val="0"/>
            <w:vAlign w:val="center"/>
          </w:tcPr>
          <w:p w14:paraId="4324AA50">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color w:val="000000"/>
                <w:kern w:val="2"/>
                <w:sz w:val="28"/>
                <w:szCs w:val="28"/>
                <w:highlight w:val="none"/>
                <w:lang w:val="en-US" w:eastAsia="zh-CN"/>
              </w:rPr>
            </w:pPr>
          </w:p>
        </w:tc>
      </w:tr>
      <w:tr w14:paraId="6C419EF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08B68343">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highlight w:val="none"/>
                <w:lang w:val="en-US" w:eastAsia="zh-CN"/>
              </w:rPr>
            </w:pPr>
            <w:r>
              <w:rPr>
                <w:rFonts w:hint="eastAsia" w:ascii="仿宋" w:hAnsi="仿宋" w:eastAsia="仿宋" w:cs="仿宋"/>
                <w:b/>
                <w:bCs/>
                <w:snapToGrid/>
                <w:kern w:val="2"/>
                <w:sz w:val="28"/>
                <w:szCs w:val="28"/>
                <w:highlight w:val="none"/>
                <w:lang w:val="en-US" w:eastAsia="zh-CN"/>
              </w:rPr>
              <w:t>2</w:t>
            </w:r>
          </w:p>
        </w:tc>
        <w:tc>
          <w:tcPr>
            <w:tcW w:w="4510" w:type="dxa"/>
            <w:tcBorders>
              <w:tl2br w:val="nil"/>
              <w:tr2bl w:val="nil"/>
            </w:tcBorders>
            <w:noWrap w:val="0"/>
            <w:vAlign w:val="center"/>
          </w:tcPr>
          <w:p w14:paraId="5B1B4538">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c>
          <w:tcPr>
            <w:tcW w:w="4612" w:type="dxa"/>
            <w:tcBorders>
              <w:tl2br w:val="nil"/>
              <w:tr2bl w:val="nil"/>
            </w:tcBorders>
            <w:noWrap w:val="0"/>
            <w:vAlign w:val="center"/>
          </w:tcPr>
          <w:p w14:paraId="76EA7AD1">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r>
      <w:tr w14:paraId="3B0599F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7E5316E2">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highlight w:val="none"/>
                <w:lang w:val="en-US" w:eastAsia="zh-CN"/>
              </w:rPr>
            </w:pPr>
            <w:r>
              <w:rPr>
                <w:rFonts w:hint="eastAsia" w:ascii="仿宋" w:hAnsi="仿宋" w:eastAsia="仿宋" w:cs="仿宋"/>
                <w:b/>
                <w:bCs/>
                <w:snapToGrid/>
                <w:kern w:val="2"/>
                <w:sz w:val="28"/>
                <w:szCs w:val="28"/>
                <w:highlight w:val="none"/>
                <w:lang w:val="en-US" w:eastAsia="zh-CN"/>
              </w:rPr>
              <w:t>3</w:t>
            </w:r>
          </w:p>
        </w:tc>
        <w:tc>
          <w:tcPr>
            <w:tcW w:w="4510" w:type="dxa"/>
            <w:tcBorders>
              <w:tl2br w:val="nil"/>
              <w:tr2bl w:val="nil"/>
            </w:tcBorders>
            <w:noWrap w:val="0"/>
            <w:vAlign w:val="center"/>
          </w:tcPr>
          <w:p w14:paraId="36FEBCDF">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c>
          <w:tcPr>
            <w:tcW w:w="4612" w:type="dxa"/>
            <w:tcBorders>
              <w:tl2br w:val="nil"/>
              <w:tr2bl w:val="nil"/>
            </w:tcBorders>
            <w:noWrap w:val="0"/>
            <w:vAlign w:val="center"/>
          </w:tcPr>
          <w:p w14:paraId="591143E5">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r>
      <w:tr w14:paraId="402014A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6AF12C7E">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highlight w:val="none"/>
                <w:lang w:val="en-US" w:eastAsia="zh-CN"/>
              </w:rPr>
            </w:pPr>
            <w:r>
              <w:rPr>
                <w:rFonts w:hint="eastAsia" w:ascii="仿宋" w:hAnsi="仿宋" w:eastAsia="仿宋" w:cs="仿宋"/>
                <w:b/>
                <w:bCs/>
                <w:snapToGrid/>
                <w:kern w:val="2"/>
                <w:sz w:val="28"/>
                <w:szCs w:val="28"/>
                <w:highlight w:val="none"/>
                <w:lang w:val="en-US" w:eastAsia="zh-CN"/>
              </w:rPr>
              <w:t>4</w:t>
            </w:r>
          </w:p>
        </w:tc>
        <w:tc>
          <w:tcPr>
            <w:tcW w:w="4510" w:type="dxa"/>
            <w:tcBorders>
              <w:tl2br w:val="nil"/>
              <w:tr2bl w:val="nil"/>
            </w:tcBorders>
            <w:noWrap w:val="0"/>
            <w:vAlign w:val="center"/>
          </w:tcPr>
          <w:p w14:paraId="5485E16B">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c>
          <w:tcPr>
            <w:tcW w:w="4612" w:type="dxa"/>
            <w:tcBorders>
              <w:tl2br w:val="nil"/>
              <w:tr2bl w:val="nil"/>
            </w:tcBorders>
            <w:noWrap w:val="0"/>
            <w:vAlign w:val="center"/>
          </w:tcPr>
          <w:p w14:paraId="154379CB">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r>
      <w:tr w14:paraId="535F089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noWrap w:val="0"/>
            <w:vAlign w:val="center"/>
          </w:tcPr>
          <w:p w14:paraId="0B456A0F">
            <w:pPr>
              <w:widowControl w:val="0"/>
              <w:kinsoku/>
              <w:autoSpaceDE/>
              <w:autoSpaceDN/>
              <w:adjustRightInd/>
              <w:snapToGrid/>
              <w:spacing w:after="0" w:line="360" w:lineRule="auto"/>
              <w:jc w:val="center"/>
              <w:textAlignment w:val="auto"/>
              <w:rPr>
                <w:rFonts w:hint="eastAsia" w:ascii="仿宋" w:hAnsi="仿宋" w:eastAsia="仿宋" w:cs="仿宋"/>
                <w:b/>
                <w:bCs/>
                <w:snapToGrid/>
                <w:kern w:val="2"/>
                <w:sz w:val="28"/>
                <w:szCs w:val="28"/>
                <w:highlight w:val="none"/>
                <w:lang w:val="en-US" w:eastAsia="zh-CN"/>
              </w:rPr>
            </w:pPr>
            <w:r>
              <w:rPr>
                <w:rFonts w:hint="eastAsia" w:ascii="仿宋" w:hAnsi="仿宋" w:eastAsia="仿宋" w:cs="仿宋"/>
                <w:b/>
                <w:bCs/>
                <w:snapToGrid/>
                <w:kern w:val="2"/>
                <w:sz w:val="28"/>
                <w:szCs w:val="28"/>
                <w:highlight w:val="none"/>
                <w:lang w:val="en-US" w:eastAsia="zh-CN"/>
              </w:rPr>
              <w:t>...</w:t>
            </w:r>
          </w:p>
        </w:tc>
        <w:tc>
          <w:tcPr>
            <w:tcW w:w="4510" w:type="dxa"/>
            <w:tcBorders>
              <w:tl2br w:val="nil"/>
              <w:tr2bl w:val="nil"/>
            </w:tcBorders>
            <w:noWrap w:val="0"/>
            <w:vAlign w:val="center"/>
          </w:tcPr>
          <w:p w14:paraId="3F402ADA">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c>
          <w:tcPr>
            <w:tcW w:w="4612" w:type="dxa"/>
            <w:tcBorders>
              <w:tl2br w:val="nil"/>
              <w:tr2bl w:val="nil"/>
            </w:tcBorders>
            <w:noWrap w:val="0"/>
            <w:vAlign w:val="center"/>
          </w:tcPr>
          <w:p w14:paraId="69E1E41D">
            <w:pPr>
              <w:widowControl w:val="0"/>
              <w:kinsoku/>
              <w:autoSpaceDE/>
              <w:autoSpaceDN/>
              <w:adjustRightInd/>
              <w:snapToGrid/>
              <w:spacing w:after="0" w:line="360" w:lineRule="auto"/>
              <w:ind w:firstLine="560" w:firstLineChars="200"/>
              <w:jc w:val="left"/>
              <w:textAlignment w:val="auto"/>
              <w:rPr>
                <w:rFonts w:hint="eastAsia" w:ascii="仿宋" w:hAnsi="仿宋" w:eastAsia="仿宋" w:cs="仿宋"/>
                <w:snapToGrid/>
                <w:kern w:val="2"/>
                <w:sz w:val="28"/>
                <w:szCs w:val="28"/>
                <w:highlight w:val="none"/>
                <w:lang w:val="en-US" w:eastAsia="zh-CN"/>
              </w:rPr>
            </w:pPr>
          </w:p>
        </w:tc>
      </w:tr>
    </w:tbl>
    <w:p w14:paraId="64D6674E">
      <w:pPr>
        <w:widowControl w:val="0"/>
        <w:kinsoku/>
        <w:autoSpaceDE/>
        <w:autoSpaceDN/>
        <w:adjustRightInd/>
        <w:snapToGrid/>
        <w:spacing w:after="0" w:line="360" w:lineRule="auto"/>
        <w:ind w:firstLine="560" w:firstLineChars="200"/>
        <w:jc w:val="both"/>
        <w:textAlignment w:val="auto"/>
        <w:rPr>
          <w:rFonts w:hint="eastAsia" w:ascii="仿宋" w:hAnsi="仿宋" w:eastAsia="仿宋" w:cs="仿宋"/>
          <w:b w:val="0"/>
          <w:bCs w:val="0"/>
          <w:snapToGrid/>
          <w:kern w:val="2"/>
          <w:sz w:val="28"/>
          <w:szCs w:val="28"/>
          <w:highlight w:val="none"/>
          <w:lang w:val="en-US" w:eastAsia="zh-CN"/>
        </w:rPr>
      </w:pPr>
      <w:r>
        <w:rPr>
          <w:rFonts w:hint="eastAsia" w:ascii="仿宋" w:hAnsi="仿宋" w:eastAsia="仿宋" w:cs="仿宋"/>
          <w:b w:val="0"/>
          <w:bCs w:val="0"/>
          <w:snapToGrid/>
          <w:kern w:val="2"/>
          <w:sz w:val="28"/>
          <w:szCs w:val="28"/>
          <w:highlight w:val="none"/>
          <w:lang w:eastAsia="zh-CN"/>
        </w:rPr>
        <w:t>注：</w:t>
      </w:r>
      <w:r>
        <w:rPr>
          <w:rFonts w:hint="eastAsia" w:ascii="仿宋" w:hAnsi="仿宋" w:eastAsia="仿宋" w:cs="仿宋"/>
          <w:b w:val="0"/>
          <w:bCs w:val="0"/>
          <w:snapToGrid/>
          <w:kern w:val="2"/>
          <w:sz w:val="28"/>
          <w:szCs w:val="28"/>
          <w:highlight w:val="none"/>
          <w:lang w:val="en-US" w:eastAsia="zh-CN"/>
        </w:rPr>
        <w:t>衷心感谢贵单位对本项目调查工作的支持，本次调查可能用于采购实施，如涉及贵单位商业机密的，请作出提醒或不填。如对需求无</w:t>
      </w:r>
      <w:r>
        <w:rPr>
          <w:rFonts w:hint="eastAsia" w:ascii="仿宋" w:hAnsi="仿宋" w:eastAsia="仿宋" w:cs="仿宋"/>
          <w:b w:val="0"/>
          <w:bCs w:val="0"/>
          <w:snapToGrid/>
          <w:kern w:val="2"/>
          <w:sz w:val="28"/>
          <w:szCs w:val="28"/>
          <w:highlight w:val="none"/>
          <w:lang w:eastAsia="zh-CN"/>
        </w:rPr>
        <w:t>意见</w:t>
      </w:r>
      <w:r>
        <w:rPr>
          <w:rFonts w:hint="eastAsia" w:ascii="仿宋" w:hAnsi="仿宋" w:eastAsia="仿宋" w:cs="仿宋"/>
          <w:b w:val="0"/>
          <w:bCs w:val="0"/>
          <w:snapToGrid/>
          <w:kern w:val="2"/>
          <w:sz w:val="28"/>
          <w:szCs w:val="28"/>
          <w:highlight w:val="none"/>
          <w:lang w:val="en-US" w:eastAsia="zh-CN"/>
        </w:rPr>
        <w:t>或建议，本表可不提供。</w:t>
      </w:r>
    </w:p>
    <w:p w14:paraId="43CE6506">
      <w:pPr>
        <w:widowControl w:val="0"/>
        <w:kinsoku/>
        <w:autoSpaceDE/>
        <w:autoSpaceDN/>
        <w:adjustRightInd/>
        <w:snapToGrid/>
        <w:spacing w:after="0" w:line="360" w:lineRule="auto"/>
        <w:ind w:firstLine="560" w:firstLineChars="200"/>
        <w:jc w:val="both"/>
        <w:textAlignment w:val="auto"/>
        <w:rPr>
          <w:rFonts w:hint="eastAsia" w:ascii="仿宋" w:hAnsi="仿宋" w:eastAsia="仿宋" w:cs="仿宋"/>
          <w:b w:val="0"/>
          <w:bCs w:val="0"/>
          <w:snapToGrid/>
          <w:kern w:val="2"/>
          <w:sz w:val="28"/>
          <w:szCs w:val="28"/>
          <w:highlight w:val="none"/>
          <w:lang w:val="en-US" w:eastAsia="zh-CN"/>
        </w:rPr>
      </w:pPr>
    </w:p>
    <w:p w14:paraId="419050E7">
      <w:pPr>
        <w:widowControl w:val="0"/>
        <w:wordWrap w:val="0"/>
        <w:spacing w:line="36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单位名称（盖章）：  </w:t>
      </w:r>
    </w:p>
    <w:p w14:paraId="2EF4FB41">
      <w:pPr>
        <w:widowControl w:val="0"/>
        <w:wordWrap w:val="0"/>
        <w:spacing w:line="360" w:lineRule="auto"/>
        <w:jc w:val="righ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w:t>
      </w:r>
    </w:p>
    <w:p w14:paraId="4AEEDB66">
      <w:pPr>
        <w:keepNext w:val="0"/>
        <w:keepLines w:val="0"/>
        <w:pageBreakBefore w:val="0"/>
        <w:numPr>
          <w:ilvl w:val="0"/>
          <w:numId w:val="0"/>
        </w:numPr>
        <w:kinsoku w:val="0"/>
        <w:wordWrap/>
        <w:overflowPunct/>
        <w:topLinePunct w:val="0"/>
        <w:autoSpaceDE w:val="0"/>
        <w:autoSpaceDN w:val="0"/>
        <w:bidi w:val="0"/>
        <w:adjustRightInd w:val="0"/>
        <w:snapToGrid w:val="0"/>
        <w:spacing w:after="0" w:line="360" w:lineRule="exact"/>
        <w:ind w:firstLine="5040" w:firstLineChars="1800"/>
        <w:textAlignment w:val="baseline"/>
        <w:rPr>
          <w:rFonts w:hint="eastAsia" w:ascii="仿宋" w:hAnsi="仿宋" w:eastAsia="仿宋" w:cs="仿宋"/>
          <w:b w:val="0"/>
          <w:bCs/>
          <w:color w:val="auto"/>
          <w:highlight w:val="none"/>
          <w:lang w:val="en-US" w:eastAsia="zh-CN"/>
        </w:rPr>
      </w:pPr>
      <w:r>
        <w:rPr>
          <w:rFonts w:hint="eastAsia" w:ascii="仿宋" w:hAnsi="仿宋" w:eastAsia="仿宋" w:cs="仿宋"/>
          <w:kern w:val="2"/>
          <w:sz w:val="28"/>
          <w:szCs w:val="28"/>
          <w:highlight w:val="none"/>
          <w:lang w:val="en-US" w:eastAsia="zh-CN" w:bidi="ar-SA"/>
        </w:rPr>
        <w:t xml:space="preserve">日       期：            </w:t>
      </w:r>
    </w:p>
    <w:p w14:paraId="0405FA1A">
      <w:pPr>
        <w:keepNext w:val="0"/>
        <w:keepLines w:val="0"/>
        <w:pageBreakBefore w:val="0"/>
        <w:widowControl/>
        <w:kinsoku w:val="0"/>
        <w:wordWrap/>
        <w:overflowPunct/>
        <w:topLinePunct w:val="0"/>
        <w:autoSpaceDE w:val="0"/>
        <w:autoSpaceDN w:val="0"/>
        <w:bidi w:val="0"/>
        <w:adjustRightInd w:val="0"/>
        <w:snapToGrid w:val="0"/>
        <w:spacing w:after="0" w:line="360" w:lineRule="exact"/>
        <w:textAlignment w:val="baseline"/>
        <w:rPr>
          <w:rFonts w:hint="eastAsia" w:ascii="仿宋" w:hAnsi="仿宋" w:eastAsia="仿宋" w:cs="仿宋"/>
          <w:color w:val="auto"/>
          <w:highlight w:val="none"/>
          <w:lang w:eastAsia="zh-CN"/>
        </w:rPr>
      </w:pPr>
    </w:p>
    <w:p w14:paraId="331C4DD8">
      <w:pPr>
        <w:rPr>
          <w:rFonts w:hint="eastAsia" w:ascii="仿宋" w:hAnsi="仿宋" w:eastAsia="仿宋" w:cs="仿宋"/>
          <w:b/>
          <w:bCs/>
          <w:color w:val="auto"/>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A892">
    <w:pPr>
      <w:pStyle w:val="6"/>
      <w:ind w:firstLine="3420" w:firstLineChars="1900"/>
    </w:pPr>
    <w:sdt>
      <w:sdtPr>
        <w:id w:val="677231561"/>
        <w:docPartObj>
          <w:docPartGallery w:val="autotext"/>
        </w:docPartObj>
      </w:sdtPr>
      <w:sdtContent>
        <w:sdt>
          <w:sdtPr>
            <w:id w:val="98381352"/>
            <w:docPartObj>
              <w:docPartGallery w:val="autotext"/>
            </w:docPartObj>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sdtContent>
        </w:sdt>
      </w:sdtContent>
    </w:sdt>
  </w:p>
  <w:p w14:paraId="1144B64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230DE"/>
    <w:multiLevelType w:val="singleLevel"/>
    <w:tmpl w:val="CFC230DE"/>
    <w:lvl w:ilvl="0" w:tentative="0">
      <w:start w:val="2"/>
      <w:numFmt w:val="decimal"/>
      <w:lvlText w:val="%1."/>
      <w:lvlJc w:val="left"/>
      <w:pPr>
        <w:tabs>
          <w:tab w:val="left" w:pos="420"/>
        </w:tabs>
        <w:ind w:left="425" w:hanging="425"/>
      </w:pPr>
      <w:rPr>
        <w:rFonts w:hint="default"/>
      </w:rPr>
    </w:lvl>
  </w:abstractNum>
  <w:abstractNum w:abstractNumId="1">
    <w:nsid w:val="E33A7D62"/>
    <w:multiLevelType w:val="singleLevel"/>
    <w:tmpl w:val="E33A7D62"/>
    <w:lvl w:ilvl="0" w:tentative="0">
      <w:start w:val="1"/>
      <w:numFmt w:val="decimal"/>
      <w:lvlText w:val="(%1)"/>
      <w:lvlJc w:val="left"/>
      <w:pPr>
        <w:ind w:left="425" w:hanging="425"/>
      </w:pPr>
      <w:rPr>
        <w:rFonts w:hint="default"/>
      </w:rPr>
    </w:lvl>
  </w:abstractNum>
  <w:abstractNum w:abstractNumId="2">
    <w:nsid w:val="ECF686D1"/>
    <w:multiLevelType w:val="singleLevel"/>
    <w:tmpl w:val="ECF686D1"/>
    <w:lvl w:ilvl="0" w:tentative="0">
      <w:start w:val="5"/>
      <w:numFmt w:val="decimal"/>
      <w:lvlText w:val="%1."/>
      <w:lvlJc w:val="left"/>
      <w:pPr>
        <w:tabs>
          <w:tab w:val="left" w:pos="420"/>
        </w:tabs>
        <w:ind w:left="425" w:hanging="425"/>
      </w:pPr>
      <w:rPr>
        <w:rFonts w:hint="default"/>
      </w:rPr>
    </w:lvl>
  </w:abstractNum>
  <w:abstractNum w:abstractNumId="3">
    <w:nsid w:val="0DD4A082"/>
    <w:multiLevelType w:val="singleLevel"/>
    <w:tmpl w:val="0DD4A082"/>
    <w:lvl w:ilvl="0" w:tentative="0">
      <w:start w:val="1"/>
      <w:numFmt w:val="decimal"/>
      <w:lvlText w:val="%1."/>
      <w:lvlJc w:val="left"/>
      <w:pPr>
        <w:ind w:left="425" w:hanging="425"/>
      </w:pPr>
      <w:rPr>
        <w:rFonts w:hint="default"/>
      </w:rPr>
    </w:lvl>
  </w:abstractNum>
  <w:abstractNum w:abstractNumId="4">
    <w:nsid w:val="3261F38B"/>
    <w:multiLevelType w:val="singleLevel"/>
    <w:tmpl w:val="3261F38B"/>
    <w:lvl w:ilvl="0" w:tentative="0">
      <w:start w:val="1"/>
      <w:numFmt w:val="chineseCounting"/>
      <w:suff w:val="nothing"/>
      <w:lvlText w:val="（%1）"/>
      <w:lvlJc w:val="left"/>
      <w:pPr>
        <w:ind w:left="0" w:firstLine="420"/>
      </w:pPr>
      <w:rPr>
        <w:rFonts w:hint="eastAsia"/>
      </w:rPr>
    </w:lvl>
  </w:abstractNum>
  <w:abstractNum w:abstractNumId="5">
    <w:nsid w:val="4573D5A9"/>
    <w:multiLevelType w:val="singleLevel"/>
    <w:tmpl w:val="4573D5A9"/>
    <w:lvl w:ilvl="0" w:tentative="0">
      <w:start w:val="3"/>
      <w:numFmt w:val="decimal"/>
      <w:lvlText w:val="%1."/>
      <w:lvlJc w:val="left"/>
      <w:pPr>
        <w:tabs>
          <w:tab w:val="left" w:pos="420"/>
        </w:tabs>
        <w:ind w:left="425" w:hanging="425"/>
      </w:pPr>
      <w:rPr>
        <w:rFonts w:hint="default"/>
      </w:rPr>
    </w:lvl>
  </w:abstractNum>
  <w:abstractNum w:abstractNumId="6">
    <w:nsid w:val="643F5A69"/>
    <w:multiLevelType w:val="singleLevel"/>
    <w:tmpl w:val="643F5A69"/>
    <w:lvl w:ilvl="0" w:tentative="0">
      <w:start w:val="4"/>
      <w:numFmt w:val="decimal"/>
      <w:lvlText w:val="%1."/>
      <w:lvlJc w:val="left"/>
      <w:pPr>
        <w:tabs>
          <w:tab w:val="left" w:pos="420"/>
        </w:tabs>
        <w:ind w:left="425" w:hanging="425"/>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MWUzN2RlYjhkM2VjNTcwMjYyZmY2MGRhNjQ0ZDEifQ=="/>
  </w:docVars>
  <w:rsids>
    <w:rsidRoot w:val="004F5BB8"/>
    <w:rsid w:val="00080207"/>
    <w:rsid w:val="00132F98"/>
    <w:rsid w:val="004F5BB8"/>
    <w:rsid w:val="00661C56"/>
    <w:rsid w:val="006B4E94"/>
    <w:rsid w:val="007759F2"/>
    <w:rsid w:val="007F3A34"/>
    <w:rsid w:val="00980746"/>
    <w:rsid w:val="00BB5788"/>
    <w:rsid w:val="00E852C3"/>
    <w:rsid w:val="00EF3BE0"/>
    <w:rsid w:val="00F43982"/>
    <w:rsid w:val="00FE4ECA"/>
    <w:rsid w:val="09352F13"/>
    <w:rsid w:val="10A77E6D"/>
    <w:rsid w:val="14A343EA"/>
    <w:rsid w:val="1CEA163B"/>
    <w:rsid w:val="21781209"/>
    <w:rsid w:val="22014364"/>
    <w:rsid w:val="378360C0"/>
    <w:rsid w:val="48F922D8"/>
    <w:rsid w:val="4E5153DA"/>
    <w:rsid w:val="53B5166A"/>
    <w:rsid w:val="54054D71"/>
    <w:rsid w:val="575C71B2"/>
    <w:rsid w:val="592C50B8"/>
    <w:rsid w:val="5B716D60"/>
    <w:rsid w:val="5B7C7603"/>
    <w:rsid w:val="67277FC8"/>
    <w:rsid w:val="6B0A7ACE"/>
    <w:rsid w:val="6B2C198A"/>
    <w:rsid w:val="6D456141"/>
    <w:rsid w:val="72B25B54"/>
    <w:rsid w:val="7D9D1777"/>
    <w:rsid w:val="7E455789"/>
    <w:rsid w:val="7FA2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link w:val="13"/>
    <w:semiHidden/>
    <w:unhideWhenUsed/>
    <w:qFormat/>
    <w:uiPriority w:val="99"/>
    <w:pPr>
      <w:spacing w:after="120"/>
    </w:pPr>
  </w:style>
  <w:style w:type="paragraph" w:styleId="5">
    <w:name w:val="Body Text Indent"/>
    <w:basedOn w:val="1"/>
    <w:qFormat/>
    <w:uiPriority w:val="0"/>
    <w:pPr>
      <w:ind w:firstLine="570"/>
    </w:pPr>
    <w:rPr>
      <w:rFonts w:ascii="宋体" w:hAnsi="宋体"/>
      <w:sz w:val="28"/>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character" w:styleId="11">
    <w:name w:val="Hyperlink"/>
    <w:basedOn w:val="9"/>
    <w:semiHidden/>
    <w:unhideWhenUsed/>
    <w:qFormat/>
    <w:uiPriority w:val="99"/>
    <w:rPr>
      <w:color w:val="0000FF"/>
      <w:u w:val="single"/>
    </w:rPr>
  </w:style>
  <w:style w:type="character" w:customStyle="1" w:styleId="12">
    <w:name w:val="标题 1 Char"/>
    <w:basedOn w:val="9"/>
    <w:link w:val="2"/>
    <w:qFormat/>
    <w:uiPriority w:val="0"/>
    <w:rPr>
      <w:rFonts w:ascii="Times New Roman" w:hAnsi="Times New Roman" w:eastAsia="宋体" w:cs="Times New Roman"/>
      <w:b/>
      <w:kern w:val="44"/>
      <w:sz w:val="44"/>
      <w:szCs w:val="20"/>
    </w:rPr>
  </w:style>
  <w:style w:type="character" w:customStyle="1" w:styleId="13">
    <w:name w:val="正文文本 Char"/>
    <w:basedOn w:val="9"/>
    <w:link w:val="4"/>
    <w:semiHidden/>
    <w:qFormat/>
    <w:uiPriority w:val="99"/>
    <w:rPr>
      <w:rFonts w:ascii="Times New Roman" w:hAnsi="Times New Roman" w:eastAsia="宋体" w:cs="Times New Roman"/>
      <w:szCs w:val="20"/>
    </w:rPr>
  </w:style>
  <w:style w:type="character" w:customStyle="1" w:styleId="14">
    <w:name w:val="页眉 Char"/>
    <w:basedOn w:val="9"/>
    <w:link w:val="7"/>
    <w:qFormat/>
    <w:uiPriority w:val="99"/>
    <w:rPr>
      <w:rFonts w:ascii="Times New Roman" w:hAnsi="Times New Roman" w:eastAsia="宋体" w:cs="Times New Roman"/>
      <w:sz w:val="18"/>
      <w:szCs w:val="18"/>
    </w:rPr>
  </w:style>
  <w:style w:type="character" w:customStyle="1" w:styleId="15">
    <w:name w:val="页脚 Char"/>
    <w:basedOn w:val="9"/>
    <w:link w:val="6"/>
    <w:qFormat/>
    <w:uiPriority w:val="99"/>
    <w:rPr>
      <w:rFonts w:ascii="Times New Roman" w:hAnsi="Times New Roman" w:eastAsia="宋体" w:cs="Times New Roman"/>
      <w:sz w:val="18"/>
      <w:szCs w:val="18"/>
    </w:rPr>
  </w:style>
  <w:style w:type="paragraph" w:customStyle="1" w:styleId="16">
    <w:name w:val="Table Paragraph"/>
    <w:qFormat/>
    <w:uiPriority w:val="1"/>
    <w:pPr>
      <w:widowControl w:val="0"/>
      <w:autoSpaceDE w:val="0"/>
      <w:autoSpaceDN w:val="0"/>
      <w:adjustRightInd w:val="0"/>
      <w:spacing w:line="360" w:lineRule="auto"/>
      <w:ind w:firstLine="200" w:firstLineChars="200"/>
      <w:jc w:val="both"/>
    </w:pPr>
    <w:rPr>
      <w:rFonts w:ascii="宋体" w:hAnsi="Times New Roman" w:eastAsia="宋体" w:cs="宋体"/>
      <w:kern w:val="0"/>
      <w:sz w:val="24"/>
      <w:szCs w:val="24"/>
      <w:lang w:val="en-US" w:eastAsia="zh-CN" w:bidi="ar-SA"/>
    </w:rPr>
  </w:style>
  <w:style w:type="paragraph" w:customStyle="1" w:styleId="17">
    <w:name w:val="报告正文"/>
    <w:basedOn w:val="1"/>
    <w:qFormat/>
    <w:uiPriority w:val="0"/>
    <w:pPr>
      <w:adjustRightInd w:val="0"/>
      <w:spacing w:line="360" w:lineRule="auto"/>
      <w:ind w:firstLine="482"/>
      <w:textAlignment w:val="baseline"/>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3086</Words>
  <Characters>3288</Characters>
  <Lines>46</Lines>
  <Paragraphs>13</Paragraphs>
  <TotalTime>57</TotalTime>
  <ScaleCrop>false</ScaleCrop>
  <LinksUpToDate>false</LinksUpToDate>
  <CharactersWithSpaces>3490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2023-04-21T06:04:00Z</dcterms:created>
  <dc:creator>China</dc:creator>
  <cp:lastModifiedBy>WPS</cp:lastModifiedBy>
  <cp:lastPrinted>2023-04-23T09:32:00Z</cp:lastPrinted>
  <dcterms:modified xsi:type="dcterms:W3CDTF">2025-09-04T08:47:33Z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D19DB4B67F8F4AAC89E6FD082D745567_13</vt:lpwstr>
  </property>
  <property fmtid="{D5CDD505-2E9C-101B-9397-08002B2CF9AE}" pid="4" name="KSOTemplateDocerSaveRecord">
    <vt:lpwstr>eyJoZGlkIjoiNGFjOTMzM2ZjOTFlYTVjOGVmMmU3MjkwZmNlOThjZmEiLCJ1c2VySWQiOiI3NTUwMTAyNTIifQ==</vt:lpwstr>
  </property>
</Properties>
</file>