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A6E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技术、商务要求</w:t>
      </w:r>
    </w:p>
    <w:p w14:paraId="240EB5B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Times New Roman" w:hAnsi="Times New Roman" w:eastAsia="仿宋" w:cs="仿宋"/>
          <w:b/>
          <w:bCs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24"/>
          <w:lang w:val="en-US" w:eastAsia="zh-CN"/>
        </w:rPr>
        <w:t>一、服务期限及项目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>内容</w:t>
      </w:r>
    </w:p>
    <w:p w14:paraId="358BEC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服务期限：1年</w:t>
      </w:r>
    </w:p>
    <w:p w14:paraId="14EC7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仿宋" w:cs="仿宋"/>
          <w:b/>
          <w:bCs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>技术要求：</w:t>
      </w:r>
    </w:p>
    <w:p w14:paraId="50C3B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24"/>
          <w:lang w:val="en-US" w:eastAsia="zh-CN"/>
        </w:rPr>
        <w:t>采购目录详见附件2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。</w:t>
      </w:r>
      <w:bookmarkStart w:id="0" w:name="_GoBack"/>
      <w:bookmarkEnd w:id="0"/>
    </w:p>
    <w:p w14:paraId="4E186B81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★1.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应提供全新的、符合国家及采购文件提出的有关质量标准的货物和技术服务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602BF6DA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★2.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报价应包括人工、维护服务、交通、技术、货物采购、运输、搬运、配送、安装、调试等一切与项目有关的所有费用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37CB3D0E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3.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不得将项目转包、分包，否则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有权单方终止合同，由此产生的一切经济损失由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自行承担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0B008825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4.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除不可抗力，不得因其他任何理由延迟送货。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如遇特殊情况需推迟送货、上门服务，应提前通知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。因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原因延误交货日期的（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要求推迟的除外），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有权自行采购，并由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承担由此产生的一切损失和费用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12C56F75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5.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不得擅自变更供应产品，应严格按采购要求（含商标、名称、产地、规格和重量等）供应，否则，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有权拒收。如因市场流通问题确实需要变更的，应书面向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申请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430FF4E2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6.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按合同对产品进行认真验收，对不符合规格要求的产品，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必须无条件退货；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未能履行采购文件和合同所定事项，或供应不合格的、假冒伪劣、以次充好的产品，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有权要求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承担因此产生的一切损失和费用外，情节严重的可取消其供应资格。</w:t>
      </w:r>
    </w:p>
    <w:p w14:paraId="412817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12"/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★7.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交货保障</w:t>
      </w:r>
    </w:p>
    <w:p w14:paraId="7CD3C038">
      <w:pPr>
        <w:numPr>
          <w:ilvl w:val="0"/>
          <w:numId w:val="0"/>
        </w:num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1）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响应时间：常用产品需3个工作日内送货，其它特殊缺货未能及时送货的需向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解释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</w:p>
    <w:p w14:paraId="3A19EBB0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2）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质保周期：产品自签收日起至少保修一年，若产品品牌有官方质保的，则按产品官方质保期计算。</w:t>
      </w:r>
    </w:p>
    <w:p w14:paraId="7EF49440">
      <w:p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</w:pPr>
    </w:p>
    <w:p w14:paraId="240E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仿宋" w:cs="仿宋"/>
          <w:b/>
          <w:bCs/>
          <w:sz w:val="24"/>
          <w:szCs w:val="24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Times New Roman" w:hAnsi="Times New Roman" w:eastAsia="仿宋" w:cs="仿宋"/>
          <w:b/>
          <w:bCs/>
          <w:sz w:val="24"/>
          <w:szCs w:val="24"/>
        </w:rPr>
        <w:t>商务要求：</w:t>
      </w:r>
    </w:p>
    <w:p w14:paraId="10292F13">
      <w:pPr>
        <w:numPr>
          <w:ilvl w:val="0"/>
          <w:numId w:val="0"/>
        </w:numPr>
        <w:tabs>
          <w:tab w:val="left" w:pos="15"/>
        </w:tabs>
        <w:spacing w:line="360" w:lineRule="auto"/>
        <w:ind w:firstLine="480" w:firstLineChars="200"/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结算方式：供货次月按人民币以转账方式结算；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每月10日前向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出具上月账单，经双方确认无误后，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在7个工作日内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开具等额增值税发票，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在收到发票后的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日内支付相应款项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val="en-US" w:eastAsia="zh-CN"/>
        </w:rPr>
        <w:t>中标人迟延提供账单或开具发票的，采购人有权顺延付款且不构成违约；</w:t>
      </w:r>
    </w:p>
    <w:p w14:paraId="4F3B2BDF">
      <w:pPr>
        <w:numPr>
          <w:ilvl w:val="0"/>
          <w:numId w:val="0"/>
        </w:numPr>
        <w:tabs>
          <w:tab w:val="left" w:pos="15"/>
        </w:tabs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因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未提供相关单据导致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未在规定时间内付款，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无需承担延迟付款责任。若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中标人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不能完整提供上述单据向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申请付款的，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  <w:lang w:eastAsia="zh-CN"/>
        </w:rPr>
        <w:t>采购人</w:t>
      </w:r>
      <w:r>
        <w:rPr>
          <w:rFonts w:hint="eastAsia" w:ascii="Times New Roman" w:hAnsi="Times New Roman" w:eastAsia="仿宋" w:cs="仿宋"/>
          <w:b w:val="0"/>
          <w:bCs w:val="0"/>
          <w:sz w:val="24"/>
          <w:szCs w:val="24"/>
        </w:rPr>
        <w:t>有权拒绝付款。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87CB4"/>
    <w:rsid w:val="1C7D599E"/>
    <w:rsid w:val="1EE147A1"/>
    <w:rsid w:val="2E4C3BB8"/>
    <w:rsid w:val="3327481D"/>
    <w:rsid w:val="47504849"/>
    <w:rsid w:val="4C661A2F"/>
    <w:rsid w:val="514946CB"/>
    <w:rsid w:val="6DFE3ADD"/>
    <w:rsid w:val="72432E45"/>
    <w:rsid w:val="7E5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1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正文样式1"/>
    <w:basedOn w:val="1"/>
    <w:autoRedefine/>
    <w:qFormat/>
    <w:uiPriority w:val="0"/>
    <w:pPr>
      <w:adjustRightInd w:val="0"/>
      <w:spacing w:line="360" w:lineRule="auto"/>
      <w:ind w:firstLine="360" w:firstLineChars="150"/>
      <w:textAlignment w:val="baseline"/>
    </w:pPr>
    <w:rPr>
      <w:rFonts w:ascii="宋体" w:hAnsi="宋体"/>
      <w:color w:val="FF0000"/>
      <w:kern w:val="0"/>
      <w:sz w:val="24"/>
      <w:szCs w:val="20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3459</Words>
  <Characters>4370</Characters>
  <Lines>0</Lines>
  <Paragraphs>0</Paragraphs>
  <TotalTime>3</TotalTime>
  <ScaleCrop>false</ScaleCrop>
  <LinksUpToDate>false</LinksUpToDate>
  <CharactersWithSpaces>4713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2025-08-05T03:03:00Z</dcterms:created>
  <dc:creator>Lewis27</dc:creator>
  <cp:lastModifiedBy>包包</cp:lastModifiedBy>
  <dcterms:modified xsi:type="dcterms:W3CDTF">2025-11-25T10:04:03Z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eyJoZGlkIjoiZWU0ZGVjYmYwOGY5NDBmZjljOGM1ODUzY2RhOGQ3NDkiLCJ1c2VySWQiOiIyNjA5MjQ2MzIifQ==</vt:lpwstr>
  </property>
  <property fmtid="{D5CDD505-2E9C-101B-9397-08002B2CF9AE}" pid="4" name="ICV">
    <vt:lpwstr>D06BCCEFFB464C7AA1AE8C1E328B1368_12</vt:lpwstr>
  </property>
</Properties>
</file>