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8" w:leftChars="104"/>
        <w:jc w:val="center"/>
        <w:textAlignment w:val="auto"/>
        <w:rPr>
          <w:rFonts w:ascii="仿宋" w:hAnsi="仿宋" w:eastAsia="仿宋" w:cs="仿宋"/>
          <w:b/>
          <w:bCs/>
          <w:kern w:val="44"/>
          <w:sz w:val="30"/>
          <w:szCs w:val="30"/>
        </w:rPr>
      </w:pPr>
      <w:bookmarkStart w:id="0" w:name="_Toc130697192"/>
      <w:bookmarkStart w:id="1" w:name="_Toc153615297"/>
      <w:bookmarkStart w:id="2" w:name="_Toc185747588"/>
      <w:bookmarkStart w:id="3" w:name="_Toc130695600"/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>揭阳市绿源垃圾综合处理与资源利用厂</w:t>
      </w:r>
    </w:p>
    <w:p w14:paraId="23A8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8" w:leftChars="104"/>
        <w:jc w:val="center"/>
        <w:textAlignment w:val="auto"/>
        <w:rPr>
          <w:rFonts w:ascii="仿宋" w:hAnsi="仿宋" w:eastAsia="仿宋" w:cs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44"/>
          <w:sz w:val="30"/>
          <w:szCs w:val="30"/>
          <w:lang w:val="en-US" w:eastAsia="zh-CN"/>
        </w:rPr>
        <w:t>中温过热器管和一级省煤器检修施工</w:t>
      </w:r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>项目调研公告</w:t>
      </w:r>
    </w:p>
    <w:p w14:paraId="1675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广州群生招标代理有限公司受欧晟绿色燃料（揭阳）有限公司委托，就</w:t>
      </w:r>
      <w:r>
        <w:rPr>
          <w:rFonts w:hint="eastAsia" w:ascii="仿宋" w:hAnsi="仿宋" w:eastAsia="仿宋" w:cs="仿宋"/>
          <w:sz w:val="28"/>
          <w:szCs w:val="28"/>
          <w:u w:val="single"/>
        </w:rPr>
        <w:t>揭阳市绿源垃圾综合处理与资源利用厂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中温过热器管和一级省煤器检修施工</w:t>
      </w:r>
      <w:r>
        <w:rPr>
          <w:rFonts w:hint="eastAsia" w:ascii="仿宋" w:hAnsi="仿宋" w:eastAsia="仿宋" w:cs="仿宋"/>
          <w:sz w:val="28"/>
          <w:szCs w:val="28"/>
          <w:u w:val="single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进行市场调研，欢迎潜在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人参加前期调研，调研内容及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要求如下：</w:t>
      </w:r>
    </w:p>
    <w:p w14:paraId="2ABE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更换中温过热器管和一级省煤器，包工包料，涉及的材料数量和施工工程量详见</w:t>
      </w: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5A0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本次调研是采购人采购工作的市场调研，为实地了解采购人项目情况，欢迎报价单位前来项目现场进行实地勘查和交流，社会供应商的报价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作为本项目前期工作的参考依据，报价函格式、采购人需求书、采购需求反馈意见或建议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sz w:val="28"/>
          <w:szCs w:val="28"/>
        </w:rPr>
        <w:t>详见附件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采购人将根据调研结果推进后续采购工作。</w:t>
      </w:r>
    </w:p>
    <w:p w14:paraId="0148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报价截止时间至202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 w14:paraId="6605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Style w:val="13"/>
          <w:rFonts w:ascii="仿宋" w:hAnsi="仿宋" w:eastAsia="仿宋" w:cs="仿宋"/>
          <w:bCs/>
          <w:sz w:val="28"/>
          <w:szCs w:val="28"/>
        </w:rPr>
      </w:pPr>
      <w:r>
        <w:rPr>
          <w:rStyle w:val="13"/>
          <w:rFonts w:hint="eastAsia" w:ascii="仿宋" w:hAnsi="仿宋" w:eastAsia="仿宋" w:cs="仿宋"/>
          <w:bCs/>
          <w:sz w:val="28"/>
          <w:szCs w:val="28"/>
        </w:rPr>
        <w:t>参与方式:报价函及意见表签字盖章扫描件发送至</w:t>
      </w:r>
      <w:r>
        <w:rPr>
          <w:rStyle w:val="14"/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gzqunsheng@gzqunsheng.com</w:t>
      </w:r>
    </w:p>
    <w:p w14:paraId="75997A1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themeColor="background1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招标代理机构联系方式：</w:t>
      </w:r>
    </w:p>
    <w:p w14:paraId="2ECE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联系人：陈工</w:t>
      </w:r>
    </w:p>
    <w:p w14:paraId="4A1E2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电话：020-83812782、83812935，18011735206</w:t>
      </w:r>
    </w:p>
    <w:p w14:paraId="58503F5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themeColor="background1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采购人联系人：周工               联系方式：18924280393</w:t>
      </w:r>
    </w:p>
    <w:p w14:paraId="0DB5C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附件1.报价表</w:t>
      </w:r>
    </w:p>
    <w:p w14:paraId="4B97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过热器管图纸、一级省</w:t>
      </w:r>
      <w:bookmarkStart w:id="8" w:name="_GoBack"/>
      <w:bookmarkEnd w:id="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煤器管图纸及锅炉安装总图</w:t>
      </w:r>
    </w:p>
    <w:p w14:paraId="3769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附件3.采购需求反馈意见或建议</w:t>
      </w:r>
    </w:p>
    <w:p w14:paraId="3D9B84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欧晟绿色燃料（揭阳）有限公司</w:t>
      </w:r>
    </w:p>
    <w:p w14:paraId="6D6A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91A33B">
      <w:pPr>
        <w:spacing w:line="360" w:lineRule="auto"/>
        <w:jc w:val="right"/>
        <w:rPr>
          <w:rFonts w:ascii="仿宋" w:hAnsi="仿宋" w:eastAsia="仿宋" w:cs="仿宋"/>
          <w:sz w:val="24"/>
          <w:szCs w:val="24"/>
        </w:rPr>
      </w:pPr>
    </w:p>
    <w:p w14:paraId="67D72FE0">
      <w:pPr>
        <w:spacing w:line="360" w:lineRule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附件1：</w:t>
      </w:r>
    </w:p>
    <w:p w14:paraId="43624FA9">
      <w:pPr>
        <w:spacing w:line="360" w:lineRule="auto"/>
        <w:ind w:firstLine="2891" w:firstLineChars="9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一、报价表</w:t>
      </w:r>
    </w:p>
    <w:tbl>
      <w:tblPr>
        <w:tblStyle w:val="11"/>
        <w:tblW w:w="4997" w:type="pct"/>
        <w:jc w:val="center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547"/>
        <w:gridCol w:w="952"/>
        <w:gridCol w:w="1050"/>
        <w:gridCol w:w="1114"/>
        <w:gridCol w:w="1471"/>
        <w:gridCol w:w="1495"/>
      </w:tblGrid>
      <w:tr w14:paraId="61D037F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6908B6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635" w:type="pct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6BFD76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材料部分</w:t>
            </w:r>
          </w:p>
        </w:tc>
        <w:tc>
          <w:tcPr>
            <w:tcW w:w="88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D8C4FF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备注</w:t>
            </w:r>
          </w:p>
        </w:tc>
      </w:tr>
      <w:tr w14:paraId="15A7E45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0D205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4" w:name="gxebdItem_price_Vertical_0"/>
          </w:p>
          <w:bookmarkEnd w:id="4"/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B0F2A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6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51FA1B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-SA"/>
              </w:rPr>
            </w:pPr>
            <w:bookmarkStart w:id="5" w:name="gxebdprice_uppercase_501"/>
            <w:bookmarkEnd w:id="5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22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EB569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预计重量</w:t>
            </w:r>
          </w:p>
        </w:tc>
        <w:tc>
          <w:tcPr>
            <w:tcW w:w="6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3C54A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8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80E02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含税金额</w:t>
            </w:r>
          </w:p>
        </w:tc>
        <w:tc>
          <w:tcPr>
            <w:tcW w:w="884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5B998">
            <w:pPr>
              <w:pStyle w:val="23"/>
              <w:spacing w:line="40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由报价人依据图纸核算数量和预估重量。</w:t>
            </w:r>
          </w:p>
        </w:tc>
      </w:tr>
      <w:tr w14:paraId="1611CF6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8608E5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CF9748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6E5334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bookmarkStart w:id="6" w:name="gxebdprice_editable_502_TS"/>
            <w:bookmarkEnd w:id="6"/>
          </w:p>
        </w:tc>
        <w:tc>
          <w:tcPr>
            <w:tcW w:w="622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044B1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7EF01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953F18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900BE">
            <w:pPr>
              <w:pStyle w:val="23"/>
              <w:spacing w:line="40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2B9D8C7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345EE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775AA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57DEA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77D31F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A98E8F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1D1DB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878CF7">
            <w:pPr>
              <w:pStyle w:val="23"/>
              <w:spacing w:line="40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DA47AA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8B85C1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0A98D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672C7E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bookmarkStart w:id="7" w:name="gxebdprice_editable_503_TS"/>
            <w:bookmarkEnd w:id="7"/>
          </w:p>
        </w:tc>
        <w:tc>
          <w:tcPr>
            <w:tcW w:w="622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E2857A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33825F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3638B8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E77093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F16C3B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1294CD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15CD5">
            <w:pPr>
              <w:pStyle w:val="23"/>
              <w:spacing w:line="400" w:lineRule="exact"/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........</w:t>
            </w:r>
          </w:p>
        </w:tc>
        <w:tc>
          <w:tcPr>
            <w:tcW w:w="56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D57E2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9FBCEC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B4CC76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873CF0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A55DC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83460AF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B43E23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5248A4">
            <w:pPr>
              <w:pStyle w:val="23"/>
              <w:spacing w:line="400" w:lineRule="exact"/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运输费用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CAEE8D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AC2C9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D81986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2CB67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9FCF8">
            <w:pPr>
              <w:pStyle w:val="23"/>
              <w:spacing w:line="400" w:lineRule="exact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3602" w:type="pct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B0DBB7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4149D3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D867D">
            <w:pPr>
              <w:pStyle w:val="23"/>
              <w:spacing w:line="400" w:lineRule="exact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二、施工部分（报价明细）</w:t>
            </w:r>
          </w:p>
        </w:tc>
      </w:tr>
      <w:tr w14:paraId="6A180F49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60138B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0CD932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  <w:t>人工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C2813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67B892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报价含税。</w:t>
            </w:r>
          </w:p>
        </w:tc>
      </w:tr>
      <w:tr w14:paraId="5DE8089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C1D270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03F01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  <w:t>保险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8F9BEC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AB20CE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EEFC34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135B9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A43F87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 w:bidi="ar-SA"/>
              </w:rPr>
              <w:t>安全措施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C064D6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4F7B4B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3D2366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E82FF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F3049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021FD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AF589C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6D2484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CC5061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7067DF">
            <w:pPr>
              <w:pStyle w:val="23"/>
              <w:spacing w:line="400" w:lineRule="exact"/>
              <w:ind w:firstLine="416" w:firstLineChars="200"/>
              <w:jc w:val="both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B6910D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DE91E0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1572181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58B04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8AC250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2717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1DCF1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4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FC32EC">
            <w:pPr>
              <w:pStyle w:val="23"/>
              <w:spacing w:line="4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5AB31B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00FFB">
            <w:pPr>
              <w:pStyle w:val="23"/>
              <w:spacing w:line="400" w:lineRule="exact"/>
              <w:jc w:val="both"/>
              <w:rPr>
                <w:rFonts w:hint="default" w:ascii="仿宋" w:hAnsi="仿宋" w:eastAsia="仿宋" w:cs="仿宋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三、总计费用（材料部分+施工部分）：</w:t>
            </w:r>
          </w:p>
        </w:tc>
      </w:tr>
      <w:tr w14:paraId="31C0F26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47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15B56A">
            <w:pPr>
              <w:pStyle w:val="23"/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工期</w:t>
            </w:r>
          </w:p>
          <w:p w14:paraId="6967FE80">
            <w:pPr>
              <w:pStyle w:val="23"/>
              <w:spacing w:line="400" w:lineRule="exact"/>
              <w:jc w:val="center"/>
              <w:rPr>
                <w:rFonts w:hint="default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4520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621EB">
            <w:pPr>
              <w:pStyle w:val="23"/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材料交货周期：</w:t>
            </w:r>
          </w:p>
          <w:p w14:paraId="3D3045DD">
            <w:pPr>
              <w:pStyle w:val="23"/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现场施工周期：</w:t>
            </w:r>
          </w:p>
        </w:tc>
      </w:tr>
    </w:tbl>
    <w:p w14:paraId="4B167866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注：1.此表所有报价均为含税价格，报价单位依据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施工图纸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提供相关报价，报价已包含人工、材料、工器具、税费、风险等完成《采购人需求书》全部工作及要求的所有费用，不再单列。</w:t>
      </w:r>
    </w:p>
    <w:p w14:paraId="6A64C343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该表格式仅作参考，报价的详细组成格式可自定。</w:t>
      </w:r>
    </w:p>
    <w:p w14:paraId="7C2F82B6">
      <w:pPr>
        <w:spacing w:line="480" w:lineRule="auto"/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报价单位名称: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（盖章） </w:t>
      </w:r>
    </w:p>
    <w:p w14:paraId="685962CC">
      <w:pPr>
        <w:spacing w:line="480" w:lineRule="auto"/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法定代表人/负责人/其委托代理人：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（签字或签章）</w:t>
      </w:r>
    </w:p>
    <w:p w14:paraId="17A0658F">
      <w:pPr>
        <w:spacing w:line="480" w:lineRule="auto"/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联系人：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</w:t>
      </w:r>
    </w:p>
    <w:p w14:paraId="7EA30336">
      <w:pPr>
        <w:spacing w:line="480" w:lineRule="auto"/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日期：______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______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_______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日</w:t>
      </w:r>
    </w:p>
    <w:p w14:paraId="6F5E228B"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bookmarkEnd w:id="0"/>
    <w:bookmarkEnd w:id="1"/>
    <w:bookmarkEnd w:id="2"/>
    <w:bookmarkEnd w:id="3"/>
    <w:p w14:paraId="254152A9">
      <w:pPr>
        <w:spacing w:line="360" w:lineRule="auto"/>
        <w:rPr>
          <w:rFonts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附件3</w:t>
      </w:r>
    </w:p>
    <w:p w14:paraId="53BFBF8B">
      <w:pPr>
        <w:widowControl/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采购需求反馈意见或建议</w:t>
      </w:r>
    </w:p>
    <w:tbl>
      <w:tblPr>
        <w:tblStyle w:val="11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898"/>
        <w:gridCol w:w="3984"/>
      </w:tblGrid>
      <w:tr w14:paraId="646098C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42B852">
            <w:pPr>
              <w:pStyle w:val="21"/>
              <w:kinsoku w:val="0"/>
              <w:overflowPunct w:val="0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719DA642">
            <w:pPr>
              <w:pStyle w:val="21"/>
              <w:kinsoku w:val="0"/>
              <w:overflowPunct w:val="0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需求原条文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2AD0C78B">
            <w:pPr>
              <w:pStyle w:val="21"/>
              <w:kinsoku w:val="0"/>
              <w:overflowPunct w:val="0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意见或建议</w:t>
            </w:r>
          </w:p>
        </w:tc>
      </w:tr>
      <w:tr w14:paraId="01A30E6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D2B58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6C5AAB6A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4324AA50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C419EF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B6834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5B1B4538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76EA7AD1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0599F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E5316E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36FEBCDF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591143E5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2014A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F12C7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5485E16B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154379CB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5F089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456A0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vAlign w:val="center"/>
          </w:tcPr>
          <w:p w14:paraId="3F402ADA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vAlign w:val="center"/>
          </w:tcPr>
          <w:p w14:paraId="69E1E41D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4D6674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注：衷心感谢贵单位对本项目调查工作的支持，本次调查可能用于采购实施，如涉及贵单位商业机密的，请作出提醒或不填。</w:t>
      </w:r>
    </w:p>
    <w:p w14:paraId="43CE650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19050E7">
      <w:pPr>
        <w:wordWrap w:val="0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单位名称（盖章）：  </w:t>
      </w:r>
    </w:p>
    <w:p w14:paraId="2EF4FB41">
      <w:pPr>
        <w:wordWrap w:val="0"/>
        <w:spacing w:line="36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</w:t>
      </w:r>
    </w:p>
    <w:p w14:paraId="331C4DD8">
      <w:pPr>
        <w:kinsoku w:val="0"/>
        <w:autoSpaceDE w:val="0"/>
        <w:autoSpaceDN w:val="0"/>
        <w:adjustRightInd w:val="0"/>
        <w:snapToGrid w:val="0"/>
        <w:spacing w:line="360" w:lineRule="exact"/>
        <w:ind w:firstLine="5040" w:firstLineChars="1800"/>
        <w:textAlignment w:val="baseline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   期：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4A892">
    <w:pPr>
      <w:pStyle w:val="8"/>
      <w:ind w:firstLine="3420" w:firstLineChars="1900"/>
    </w:pPr>
    <w:sdt>
      <w:sdtPr>
        <w:id w:val="677231561"/>
      </w:sdtPr>
      <w:sdtContent>
        <w:sdt>
          <w:sdtPr>
            <w:id w:val="98381352"/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144B64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A3EDB"/>
    <w:multiLevelType w:val="singleLevel"/>
    <w:tmpl w:val="A34A3E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MWUzN2RlYjhkM2VjNTcwMjYyZmY2MGRhNjQ0ZDEifQ=="/>
  </w:docVars>
  <w:rsids>
    <w:rsidRoot w:val="004F5BB8"/>
    <w:rsid w:val="00080207"/>
    <w:rsid w:val="00132F98"/>
    <w:rsid w:val="00396FE1"/>
    <w:rsid w:val="004F5BB8"/>
    <w:rsid w:val="00661C56"/>
    <w:rsid w:val="006B4E94"/>
    <w:rsid w:val="007759F2"/>
    <w:rsid w:val="007F3A34"/>
    <w:rsid w:val="008F0F80"/>
    <w:rsid w:val="00980746"/>
    <w:rsid w:val="00BB5788"/>
    <w:rsid w:val="00DB0208"/>
    <w:rsid w:val="00E835F2"/>
    <w:rsid w:val="00E852C3"/>
    <w:rsid w:val="00EF3BE0"/>
    <w:rsid w:val="00F43982"/>
    <w:rsid w:val="00FE4ECA"/>
    <w:rsid w:val="064E7A4D"/>
    <w:rsid w:val="09204226"/>
    <w:rsid w:val="09352F13"/>
    <w:rsid w:val="0B304AFF"/>
    <w:rsid w:val="10A77E6D"/>
    <w:rsid w:val="14A343EA"/>
    <w:rsid w:val="1575350C"/>
    <w:rsid w:val="1CEA163B"/>
    <w:rsid w:val="21781209"/>
    <w:rsid w:val="22014364"/>
    <w:rsid w:val="22183599"/>
    <w:rsid w:val="2D133CC8"/>
    <w:rsid w:val="378360C0"/>
    <w:rsid w:val="392403BC"/>
    <w:rsid w:val="48F922D8"/>
    <w:rsid w:val="49457515"/>
    <w:rsid w:val="4E5153DA"/>
    <w:rsid w:val="4EFD2861"/>
    <w:rsid w:val="54054D71"/>
    <w:rsid w:val="575C71B2"/>
    <w:rsid w:val="592C50B8"/>
    <w:rsid w:val="5B716D60"/>
    <w:rsid w:val="5CC6408F"/>
    <w:rsid w:val="5EF841A4"/>
    <w:rsid w:val="6425617F"/>
    <w:rsid w:val="65595BD3"/>
    <w:rsid w:val="65F56484"/>
    <w:rsid w:val="670C0271"/>
    <w:rsid w:val="67277FC8"/>
    <w:rsid w:val="685826FD"/>
    <w:rsid w:val="6A6D0E42"/>
    <w:rsid w:val="6AC776A8"/>
    <w:rsid w:val="6B082FC7"/>
    <w:rsid w:val="6B1523C9"/>
    <w:rsid w:val="6B2C198A"/>
    <w:rsid w:val="6CD62D98"/>
    <w:rsid w:val="6D0112BB"/>
    <w:rsid w:val="6D456141"/>
    <w:rsid w:val="72B25B54"/>
    <w:rsid w:val="7D9D1777"/>
    <w:rsid w:val="7E4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  <w:sz w:val="21"/>
      <w:szCs w:val="21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18"/>
    <w:semiHidden/>
    <w:unhideWhenUsed/>
    <w:qFormat/>
    <w:uiPriority w:val="99"/>
    <w:pPr>
      <w:spacing w:after="120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2"/>
    <w:link w:val="4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8">
    <w:name w:val="正文文本 Char"/>
    <w:basedOn w:val="12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qFormat/>
    <w:uiPriority w:val="1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报告正文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cs="宋体"/>
      <w:sz w:val="24"/>
    </w:rPr>
  </w:style>
  <w:style w:type="paragraph" w:customStyle="1" w:styleId="23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7">
    <w:name w:val="批注主题 Char"/>
    <w:basedOn w:val="26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2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842</Words>
  <Characters>944</Characters>
  <Lines>65</Lines>
  <Paragraphs>18</Paragraphs>
  <TotalTime>6</TotalTime>
  <ScaleCrop>false</ScaleCrop>
  <LinksUpToDate>false</LinksUpToDate>
  <CharactersWithSpaces>1131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2023-04-21T06:04:00Z</dcterms:created>
  <dc:creator>China</dc:creator>
  <cp:lastModifiedBy>招标代理</cp:lastModifiedBy>
  <cp:lastPrinted>2023-04-23T09:32:00Z</cp:lastPrinted>
  <dcterms:modified xsi:type="dcterms:W3CDTF">2026-04-02T09:58:28Z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6418EC6701BB4A7CBE3D3F4DE070CFEE_13</vt:lpwstr>
  </property>
  <property fmtid="{D5CDD505-2E9C-101B-9397-08002B2CF9AE}" pid="4" name="KSOTemplateDocerSaveRecord">
    <vt:lpwstr>eyJoZGlkIjoiNGFjOTMzM2ZjOTFlYTVjOGVmMmU3MjkwZmNlOThjZmEiLCJ1c2VySWQiOiI3NTUwMTAyNTIifQ==</vt:lpwstr>
  </property>
</Properties>
</file>