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72FE0">
      <w:pPr>
        <w:spacing w:line="360" w:lineRule="auto"/>
        <w:rPr>
          <w:rFonts w:hint="eastAsia" w:ascii="宋体" w:hAnsi="宋体" w:eastAsia="宋体" w:cs="宋体"/>
          <w:b/>
          <w:bCs/>
          <w:color w:val="auto"/>
          <w:sz w:val="24"/>
          <w:szCs w:val="24"/>
          <w:highlight w:val="none"/>
        </w:rPr>
      </w:pPr>
      <w:bookmarkStart w:id="0" w:name="_Toc185747588"/>
      <w:bookmarkStart w:id="1" w:name="_Toc130697192"/>
      <w:bookmarkStart w:id="2" w:name="_Toc130695600"/>
      <w:bookmarkStart w:id="3" w:name="_Toc153615297"/>
      <w:r>
        <w:rPr>
          <w:rFonts w:hint="eastAsia" w:ascii="宋体" w:hAnsi="宋体" w:eastAsia="宋体" w:cs="宋体"/>
          <w:b/>
          <w:bCs/>
          <w:color w:val="auto"/>
          <w:sz w:val="24"/>
          <w:szCs w:val="24"/>
          <w:highlight w:val="none"/>
        </w:rPr>
        <w:t>附件1：</w:t>
      </w:r>
    </w:p>
    <w:p w14:paraId="16D35017">
      <w:pPr>
        <w:numPr>
          <w:ilvl w:val="0"/>
          <w:numId w:val="1"/>
        </w:numPr>
        <w:spacing w:line="360" w:lineRule="auto"/>
        <w:ind w:firstLine="2891" w:firstLineChars="900"/>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报价表</w:t>
      </w:r>
    </w:p>
    <w:tbl>
      <w:tblPr>
        <w:tblStyle w:val="12"/>
        <w:tblW w:w="8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965"/>
        <w:gridCol w:w="3105"/>
        <w:gridCol w:w="1290"/>
        <w:gridCol w:w="1725"/>
      </w:tblGrid>
      <w:tr w14:paraId="1BDD9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5A9C1FF4">
            <w:pPr>
              <w:widowControl w:val="0"/>
              <w:numPr>
                <w:ilvl w:val="0"/>
                <w:numId w:val="0"/>
              </w:num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序号</w:t>
            </w:r>
          </w:p>
        </w:tc>
        <w:tc>
          <w:tcPr>
            <w:tcW w:w="1965" w:type="dxa"/>
            <w:vAlign w:val="center"/>
          </w:tcPr>
          <w:p w14:paraId="38B2F3AE">
            <w:pPr>
              <w:widowControl w:val="0"/>
              <w:numPr>
                <w:ilvl w:val="0"/>
                <w:numId w:val="0"/>
              </w:num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项目实施阶段</w:t>
            </w:r>
          </w:p>
        </w:tc>
        <w:tc>
          <w:tcPr>
            <w:tcW w:w="3105" w:type="dxa"/>
            <w:vAlign w:val="center"/>
          </w:tcPr>
          <w:p w14:paraId="78AC4F2E">
            <w:pPr>
              <w:widowControl w:val="0"/>
              <w:numPr>
                <w:ilvl w:val="0"/>
                <w:numId w:val="0"/>
              </w:num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交付成果</w:t>
            </w:r>
          </w:p>
        </w:tc>
        <w:tc>
          <w:tcPr>
            <w:tcW w:w="1290" w:type="dxa"/>
            <w:vAlign w:val="center"/>
          </w:tcPr>
          <w:p w14:paraId="7BFFA529">
            <w:pPr>
              <w:widowControl w:val="0"/>
              <w:numPr>
                <w:ilvl w:val="0"/>
                <w:numId w:val="0"/>
              </w:num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服务费用（元）</w:t>
            </w:r>
          </w:p>
        </w:tc>
        <w:tc>
          <w:tcPr>
            <w:tcW w:w="1725" w:type="dxa"/>
            <w:vAlign w:val="center"/>
          </w:tcPr>
          <w:p w14:paraId="311D32B1">
            <w:pPr>
              <w:widowControl w:val="0"/>
              <w:numPr>
                <w:ilvl w:val="0"/>
                <w:numId w:val="0"/>
              </w:numPr>
              <w:spacing w:line="360" w:lineRule="auto"/>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备注</w:t>
            </w:r>
          </w:p>
        </w:tc>
      </w:tr>
      <w:tr w14:paraId="2301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70714115">
            <w:pPr>
              <w:widowControl w:val="0"/>
              <w:numPr>
                <w:ilvl w:val="0"/>
                <w:numId w:val="0"/>
              </w:num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p>
        </w:tc>
        <w:tc>
          <w:tcPr>
            <w:tcW w:w="1965" w:type="dxa"/>
            <w:vAlign w:val="center"/>
          </w:tcPr>
          <w:p w14:paraId="76394FAD">
            <w:pPr>
              <w:widowControl w:val="0"/>
              <w:numPr>
                <w:ilvl w:val="0"/>
                <w:numId w:val="0"/>
              </w:num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运营全流程诊断</w:t>
            </w:r>
          </w:p>
        </w:tc>
        <w:tc>
          <w:tcPr>
            <w:tcW w:w="3105" w:type="dxa"/>
            <w:vAlign w:val="center"/>
          </w:tcPr>
          <w:p w14:paraId="763ED520">
            <w:pPr>
              <w:widowControl w:val="0"/>
              <w:numPr>
                <w:ilvl w:val="0"/>
                <w:numId w:val="0"/>
              </w:numPr>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《运营全流程诊断报告》</w:t>
            </w:r>
          </w:p>
        </w:tc>
        <w:tc>
          <w:tcPr>
            <w:tcW w:w="1290" w:type="dxa"/>
          </w:tcPr>
          <w:p w14:paraId="095D2CF2">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c>
          <w:tcPr>
            <w:tcW w:w="1725" w:type="dxa"/>
          </w:tcPr>
          <w:p w14:paraId="24044673">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r>
      <w:tr w14:paraId="135BB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restart"/>
            <w:vAlign w:val="center"/>
          </w:tcPr>
          <w:p w14:paraId="40DFC1F8">
            <w:pPr>
              <w:widowControl w:val="0"/>
              <w:numPr>
                <w:ilvl w:val="0"/>
                <w:numId w:val="0"/>
              </w:num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965" w:type="dxa"/>
            <w:vMerge w:val="restart"/>
            <w:vAlign w:val="center"/>
          </w:tcPr>
          <w:p w14:paraId="1165A086">
            <w:pPr>
              <w:widowControl w:val="0"/>
              <w:numPr>
                <w:ilvl w:val="0"/>
                <w:numId w:val="0"/>
              </w:numPr>
              <w:spacing w:line="360" w:lineRule="auto"/>
              <w:jc w:val="center"/>
              <w:rPr>
                <w:rFonts w:hint="eastAsia" w:ascii="宋体" w:hAnsi="宋体" w:eastAsia="宋体" w:cs="宋体"/>
                <w:b/>
                <w:bCs/>
                <w:color w:val="auto"/>
                <w:sz w:val="32"/>
                <w:szCs w:val="32"/>
                <w:highlight w:val="none"/>
                <w:vertAlign w:val="baseline"/>
                <w:lang w:val="en-US" w:eastAsia="zh-CN"/>
              </w:rPr>
            </w:pPr>
            <w:r>
              <w:rPr>
                <w:rFonts w:hint="eastAsia" w:ascii="宋体" w:hAnsi="宋体" w:eastAsia="宋体" w:cs="宋体"/>
                <w:color w:val="auto"/>
                <w:highlight w:val="none"/>
                <w:lang w:val="en-US" w:eastAsia="zh-CN"/>
              </w:rPr>
              <w:t>专项优化方案</w:t>
            </w:r>
          </w:p>
        </w:tc>
        <w:tc>
          <w:tcPr>
            <w:tcW w:w="3105" w:type="dxa"/>
            <w:shd w:val="clear" w:color="auto" w:fill="auto"/>
            <w:vAlign w:val="center"/>
          </w:tcPr>
          <w:p w14:paraId="63E5034D">
            <w:pPr>
              <w:widowControl w:val="0"/>
              <w:numPr>
                <w:ilvl w:val="0"/>
                <w:numId w:val="0"/>
              </w:numPr>
              <w:spacing w:line="360" w:lineRule="auto"/>
              <w:ind w:left="0" w:leftChars="0" w:firstLine="0" w:firstLineChars="0"/>
              <w:jc w:val="center"/>
              <w:rPr>
                <w:rFonts w:hint="eastAsia" w:ascii="宋体" w:hAnsi="宋体" w:eastAsia="宋体" w:cs="宋体"/>
                <w:b/>
                <w:bCs/>
                <w:color w:val="auto"/>
                <w:kern w:val="2"/>
                <w:sz w:val="32"/>
                <w:szCs w:val="32"/>
                <w:highlight w:val="none"/>
                <w:vertAlign w:val="baseline"/>
                <w:lang w:val="en-US" w:eastAsia="zh-CN" w:bidi="ar-SA"/>
              </w:rPr>
            </w:pPr>
            <w:r>
              <w:rPr>
                <w:rFonts w:hint="eastAsia" w:ascii="宋体" w:hAnsi="宋体" w:eastAsia="宋体" w:cs="宋体"/>
                <w:color w:val="auto"/>
                <w:highlight w:val="none"/>
              </w:rPr>
              <w:t>《工艺优化方案总报告》</w:t>
            </w:r>
          </w:p>
        </w:tc>
        <w:tc>
          <w:tcPr>
            <w:tcW w:w="1290" w:type="dxa"/>
          </w:tcPr>
          <w:p w14:paraId="46156A36">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c>
          <w:tcPr>
            <w:tcW w:w="1725" w:type="dxa"/>
          </w:tcPr>
          <w:p w14:paraId="78F69057">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r>
      <w:tr w14:paraId="1E562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vAlign w:val="center"/>
          </w:tcPr>
          <w:p w14:paraId="33B84DBB">
            <w:pPr>
              <w:widowControl w:val="0"/>
              <w:numPr>
                <w:ilvl w:val="0"/>
                <w:numId w:val="0"/>
              </w:numPr>
              <w:spacing w:line="360" w:lineRule="auto"/>
              <w:jc w:val="center"/>
              <w:rPr>
                <w:rFonts w:hint="eastAsia" w:ascii="宋体" w:hAnsi="宋体" w:eastAsia="宋体" w:cs="宋体"/>
                <w:b/>
                <w:bCs/>
                <w:color w:val="auto"/>
                <w:sz w:val="32"/>
                <w:szCs w:val="32"/>
                <w:highlight w:val="none"/>
                <w:vertAlign w:val="baseline"/>
              </w:rPr>
            </w:pPr>
          </w:p>
        </w:tc>
        <w:tc>
          <w:tcPr>
            <w:tcW w:w="1965" w:type="dxa"/>
            <w:vMerge w:val="continue"/>
            <w:vAlign w:val="center"/>
          </w:tcPr>
          <w:p w14:paraId="0F9D6AED">
            <w:pPr>
              <w:widowControl w:val="0"/>
              <w:numPr>
                <w:ilvl w:val="0"/>
                <w:numId w:val="0"/>
              </w:numPr>
              <w:spacing w:line="360" w:lineRule="auto"/>
              <w:jc w:val="center"/>
              <w:rPr>
                <w:rFonts w:hint="eastAsia" w:ascii="宋体" w:hAnsi="宋体" w:eastAsia="宋体" w:cs="宋体"/>
                <w:b/>
                <w:bCs/>
                <w:color w:val="auto"/>
                <w:sz w:val="32"/>
                <w:szCs w:val="32"/>
                <w:highlight w:val="none"/>
                <w:vertAlign w:val="baseline"/>
              </w:rPr>
            </w:pPr>
          </w:p>
        </w:tc>
        <w:tc>
          <w:tcPr>
            <w:tcW w:w="3105" w:type="dxa"/>
            <w:shd w:val="clear" w:color="auto" w:fill="auto"/>
            <w:vAlign w:val="center"/>
          </w:tcPr>
          <w:p w14:paraId="3D13538B">
            <w:pPr>
              <w:widowControl w:val="0"/>
              <w:numPr>
                <w:ilvl w:val="0"/>
                <w:numId w:val="0"/>
              </w:numPr>
              <w:spacing w:line="360" w:lineRule="auto"/>
              <w:ind w:left="0" w:leftChars="0" w:firstLine="0" w:firstLineChars="0"/>
              <w:jc w:val="center"/>
              <w:rPr>
                <w:rFonts w:hint="eastAsia" w:ascii="宋体" w:hAnsi="宋体" w:eastAsia="宋体" w:cs="宋体"/>
                <w:b/>
                <w:bCs/>
                <w:color w:val="auto"/>
                <w:kern w:val="2"/>
                <w:sz w:val="32"/>
                <w:szCs w:val="32"/>
                <w:highlight w:val="none"/>
                <w:vertAlign w:val="baseline"/>
                <w:lang w:val="en-US" w:eastAsia="zh-CN" w:bidi="ar-SA"/>
              </w:rPr>
            </w:pPr>
            <w:r>
              <w:rPr>
                <w:rFonts w:hint="eastAsia" w:ascii="宋体" w:hAnsi="宋体" w:eastAsia="宋体" w:cs="宋体"/>
                <w:color w:val="auto"/>
                <w:highlight w:val="none"/>
              </w:rPr>
              <w:t>《节能降耗专项报告》</w:t>
            </w:r>
          </w:p>
        </w:tc>
        <w:tc>
          <w:tcPr>
            <w:tcW w:w="1290" w:type="dxa"/>
          </w:tcPr>
          <w:p w14:paraId="46308BF6">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c>
          <w:tcPr>
            <w:tcW w:w="1725" w:type="dxa"/>
          </w:tcPr>
          <w:p w14:paraId="4B4268AF">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r>
      <w:tr w14:paraId="1FFE9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vAlign w:val="center"/>
          </w:tcPr>
          <w:p w14:paraId="143D3A21">
            <w:pPr>
              <w:widowControl w:val="0"/>
              <w:numPr>
                <w:ilvl w:val="0"/>
                <w:numId w:val="0"/>
              </w:numPr>
              <w:spacing w:line="360" w:lineRule="auto"/>
              <w:jc w:val="center"/>
              <w:rPr>
                <w:rFonts w:hint="eastAsia" w:ascii="宋体" w:hAnsi="宋体" w:eastAsia="宋体" w:cs="宋体"/>
                <w:b/>
                <w:bCs/>
                <w:color w:val="auto"/>
                <w:sz w:val="32"/>
                <w:szCs w:val="32"/>
                <w:highlight w:val="none"/>
                <w:vertAlign w:val="baseline"/>
              </w:rPr>
            </w:pPr>
          </w:p>
        </w:tc>
        <w:tc>
          <w:tcPr>
            <w:tcW w:w="1965" w:type="dxa"/>
            <w:vMerge w:val="continue"/>
            <w:vAlign w:val="center"/>
          </w:tcPr>
          <w:p w14:paraId="32D39054">
            <w:pPr>
              <w:widowControl w:val="0"/>
              <w:numPr>
                <w:ilvl w:val="0"/>
                <w:numId w:val="0"/>
              </w:numPr>
              <w:spacing w:line="360" w:lineRule="auto"/>
              <w:jc w:val="center"/>
              <w:rPr>
                <w:rFonts w:hint="eastAsia" w:ascii="宋体" w:hAnsi="宋体" w:eastAsia="宋体" w:cs="宋体"/>
                <w:b/>
                <w:bCs/>
                <w:color w:val="auto"/>
                <w:sz w:val="32"/>
                <w:szCs w:val="32"/>
                <w:highlight w:val="none"/>
                <w:vertAlign w:val="baseline"/>
              </w:rPr>
            </w:pPr>
          </w:p>
        </w:tc>
        <w:tc>
          <w:tcPr>
            <w:tcW w:w="3105" w:type="dxa"/>
            <w:shd w:val="clear" w:color="auto" w:fill="auto"/>
            <w:vAlign w:val="center"/>
          </w:tcPr>
          <w:p w14:paraId="6F46D908">
            <w:pPr>
              <w:widowControl w:val="0"/>
              <w:numPr>
                <w:ilvl w:val="0"/>
                <w:numId w:val="0"/>
              </w:numPr>
              <w:spacing w:line="360" w:lineRule="auto"/>
              <w:ind w:left="0" w:leftChars="0" w:firstLine="0" w:firstLineChars="0"/>
              <w:jc w:val="both"/>
              <w:rPr>
                <w:rFonts w:hint="eastAsia" w:ascii="宋体" w:hAnsi="宋体" w:eastAsia="宋体" w:cs="宋体"/>
                <w:b/>
                <w:bCs/>
                <w:color w:val="auto"/>
                <w:kern w:val="2"/>
                <w:sz w:val="32"/>
                <w:szCs w:val="32"/>
                <w:highlight w:val="none"/>
                <w:vertAlign w:val="baseline"/>
                <w:lang w:val="en-US" w:eastAsia="zh-CN" w:bidi="ar-SA"/>
              </w:rPr>
            </w:pPr>
            <w:r>
              <w:rPr>
                <w:rFonts w:hint="eastAsia" w:ascii="宋体" w:hAnsi="宋体" w:eastAsia="宋体" w:cs="宋体"/>
                <w:color w:val="auto"/>
                <w:highlight w:val="none"/>
              </w:rPr>
              <w:t>《炉渣资源化可行性研究报告》</w:t>
            </w:r>
          </w:p>
        </w:tc>
        <w:tc>
          <w:tcPr>
            <w:tcW w:w="1290" w:type="dxa"/>
          </w:tcPr>
          <w:p w14:paraId="173C8E30">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c>
          <w:tcPr>
            <w:tcW w:w="1725" w:type="dxa"/>
          </w:tcPr>
          <w:p w14:paraId="6BE2DC8C">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r>
      <w:tr w14:paraId="0D0EF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Merge w:val="continue"/>
            <w:vAlign w:val="center"/>
          </w:tcPr>
          <w:p w14:paraId="4C7C97E0">
            <w:pPr>
              <w:widowControl w:val="0"/>
              <w:numPr>
                <w:ilvl w:val="0"/>
                <w:numId w:val="0"/>
              </w:numPr>
              <w:spacing w:line="360" w:lineRule="auto"/>
              <w:jc w:val="center"/>
              <w:rPr>
                <w:rFonts w:hint="eastAsia" w:ascii="宋体" w:hAnsi="宋体" w:eastAsia="宋体" w:cs="宋体"/>
                <w:color w:val="auto"/>
                <w:highlight w:val="none"/>
              </w:rPr>
            </w:pPr>
          </w:p>
        </w:tc>
        <w:tc>
          <w:tcPr>
            <w:tcW w:w="1965" w:type="dxa"/>
            <w:vMerge w:val="continue"/>
            <w:vAlign w:val="center"/>
          </w:tcPr>
          <w:p w14:paraId="7C9B278D">
            <w:pPr>
              <w:widowControl w:val="0"/>
              <w:numPr>
                <w:ilvl w:val="0"/>
                <w:numId w:val="0"/>
              </w:numPr>
              <w:spacing w:line="360" w:lineRule="auto"/>
              <w:jc w:val="center"/>
              <w:rPr>
                <w:rFonts w:hint="eastAsia" w:ascii="宋体" w:hAnsi="宋体" w:eastAsia="宋体" w:cs="宋体"/>
                <w:color w:val="auto"/>
                <w:highlight w:val="none"/>
              </w:rPr>
            </w:pPr>
          </w:p>
        </w:tc>
        <w:tc>
          <w:tcPr>
            <w:tcW w:w="3105" w:type="dxa"/>
            <w:shd w:val="clear" w:color="auto" w:fill="auto"/>
            <w:vAlign w:val="center"/>
          </w:tcPr>
          <w:p w14:paraId="696C2E4E">
            <w:pPr>
              <w:widowControl w:val="0"/>
              <w:numPr>
                <w:ilvl w:val="0"/>
                <w:numId w:val="0"/>
              </w:numPr>
              <w:spacing w:line="360" w:lineRule="auto"/>
              <w:ind w:left="0" w:leftChars="0" w:firstLine="0" w:firstLineChars="0"/>
              <w:jc w:val="center"/>
              <w:rPr>
                <w:rFonts w:hint="eastAsia" w:ascii="宋体" w:hAnsi="宋体" w:eastAsia="宋体" w:cs="宋体"/>
                <w:color w:val="auto"/>
                <w:kern w:val="2"/>
                <w:sz w:val="21"/>
                <w:highlight w:val="none"/>
                <w:lang w:val="en-US" w:eastAsia="zh-CN" w:bidi="ar-SA"/>
              </w:rPr>
            </w:pPr>
            <w:r>
              <w:rPr>
                <w:rFonts w:hint="eastAsia" w:ascii="宋体" w:hAnsi="宋体" w:eastAsia="宋体" w:cs="宋体"/>
                <w:color w:val="auto"/>
                <w:highlight w:val="none"/>
              </w:rPr>
              <w:t>《人员优化方案》</w:t>
            </w:r>
          </w:p>
        </w:tc>
        <w:tc>
          <w:tcPr>
            <w:tcW w:w="1290" w:type="dxa"/>
          </w:tcPr>
          <w:p w14:paraId="3C466A02">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c>
          <w:tcPr>
            <w:tcW w:w="1725" w:type="dxa"/>
          </w:tcPr>
          <w:p w14:paraId="75EFC6AB">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r>
      <w:tr w14:paraId="251B9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20EF6973">
            <w:pPr>
              <w:widowControl w:val="0"/>
              <w:numPr>
                <w:ilvl w:val="0"/>
                <w:numId w:val="0"/>
              </w:num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965" w:type="dxa"/>
            <w:vAlign w:val="center"/>
          </w:tcPr>
          <w:p w14:paraId="26F65E18">
            <w:pPr>
              <w:widowControl w:val="0"/>
              <w:numPr>
                <w:ilvl w:val="0"/>
                <w:numId w:val="0"/>
              </w:num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实施辅导</w:t>
            </w:r>
          </w:p>
        </w:tc>
        <w:tc>
          <w:tcPr>
            <w:tcW w:w="3105" w:type="dxa"/>
            <w:vAlign w:val="center"/>
          </w:tcPr>
          <w:p w14:paraId="4FCECBEB">
            <w:pPr>
              <w:widowControl w:val="0"/>
              <w:numPr>
                <w:ilvl w:val="0"/>
                <w:numId w:val="0"/>
              </w:numPr>
              <w:spacing w:line="360" w:lineRule="auto"/>
              <w:jc w:val="center"/>
              <w:rPr>
                <w:rFonts w:hint="eastAsia" w:ascii="宋体" w:hAnsi="宋体" w:eastAsia="宋体" w:cs="宋体"/>
                <w:b/>
                <w:bCs/>
                <w:color w:val="auto"/>
                <w:sz w:val="32"/>
                <w:szCs w:val="32"/>
                <w:highlight w:val="none"/>
                <w:vertAlign w:val="baseline"/>
              </w:rPr>
            </w:pPr>
            <w:r>
              <w:rPr>
                <w:rFonts w:hint="eastAsia" w:ascii="宋体" w:hAnsi="宋体" w:eastAsia="宋体" w:cs="宋体"/>
                <w:color w:val="auto"/>
                <w:highlight w:val="none"/>
              </w:rPr>
              <w:t>《月度改进跟踪报告》及终期《项目结项报告》</w:t>
            </w:r>
          </w:p>
        </w:tc>
        <w:tc>
          <w:tcPr>
            <w:tcW w:w="1290" w:type="dxa"/>
          </w:tcPr>
          <w:p w14:paraId="1DCA01E1">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c>
          <w:tcPr>
            <w:tcW w:w="1725" w:type="dxa"/>
            <w:vAlign w:val="center"/>
          </w:tcPr>
          <w:p w14:paraId="6A2EAEEC">
            <w:pPr>
              <w:widowControl w:val="0"/>
              <w:numPr>
                <w:ilvl w:val="0"/>
                <w:numId w:val="0"/>
              </w:numPr>
              <w:spacing w:line="360" w:lineRule="auto"/>
              <w:jc w:val="left"/>
              <w:rPr>
                <w:rFonts w:hint="eastAsia" w:ascii="宋体" w:hAnsi="宋体" w:eastAsia="宋体" w:cs="宋体"/>
                <w:b/>
                <w:bCs/>
                <w:color w:val="auto"/>
                <w:sz w:val="32"/>
                <w:szCs w:val="32"/>
                <w:highlight w:val="none"/>
                <w:vertAlign w:val="baseline"/>
                <w:lang w:val="en-US" w:eastAsia="zh-CN"/>
              </w:rPr>
            </w:pPr>
            <w:r>
              <w:rPr>
                <w:rFonts w:hint="eastAsia" w:ascii="宋体" w:hAnsi="宋体" w:eastAsia="宋体" w:cs="宋体"/>
                <w:color w:val="auto"/>
                <w:highlight w:val="none"/>
                <w:lang w:val="en-US" w:eastAsia="zh-CN"/>
              </w:rPr>
              <w:t>属于可选项，采购人根据需要另行约定辅导周期及费用。</w:t>
            </w:r>
          </w:p>
        </w:tc>
      </w:tr>
      <w:tr w14:paraId="25CA2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5" w:type="dxa"/>
            <w:vAlign w:val="center"/>
          </w:tcPr>
          <w:p w14:paraId="1C7FD1B4">
            <w:pPr>
              <w:widowControl w:val="0"/>
              <w:numPr>
                <w:ilvl w:val="0"/>
                <w:numId w:val="0"/>
              </w:numPr>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5070" w:type="dxa"/>
            <w:gridSpan w:val="2"/>
            <w:vAlign w:val="center"/>
          </w:tcPr>
          <w:p w14:paraId="27E28352">
            <w:pPr>
              <w:widowControl w:val="0"/>
              <w:numPr>
                <w:ilvl w:val="0"/>
                <w:numId w:val="0"/>
              </w:numPr>
              <w:spacing w:line="360" w:lineRule="auto"/>
              <w:jc w:val="center"/>
              <w:rPr>
                <w:rFonts w:hint="eastAsia" w:ascii="宋体" w:hAnsi="宋体" w:eastAsia="宋体" w:cs="宋体"/>
                <w:b/>
                <w:bCs/>
                <w:color w:val="auto"/>
                <w:sz w:val="32"/>
                <w:szCs w:val="32"/>
                <w:highlight w:val="none"/>
                <w:vertAlign w:val="baseline"/>
                <w:lang w:val="en-US" w:eastAsia="zh-CN"/>
              </w:rPr>
            </w:pPr>
            <w:r>
              <w:rPr>
                <w:rFonts w:hint="eastAsia" w:ascii="宋体" w:hAnsi="宋体" w:eastAsia="宋体" w:cs="宋体"/>
                <w:color w:val="auto"/>
                <w:highlight w:val="none"/>
                <w:lang w:val="en-US" w:eastAsia="zh-CN"/>
              </w:rPr>
              <w:t>合计</w:t>
            </w:r>
          </w:p>
        </w:tc>
        <w:tc>
          <w:tcPr>
            <w:tcW w:w="1290" w:type="dxa"/>
          </w:tcPr>
          <w:p w14:paraId="4CCA3984">
            <w:pPr>
              <w:widowControl w:val="0"/>
              <w:numPr>
                <w:ilvl w:val="0"/>
                <w:numId w:val="0"/>
              </w:numPr>
              <w:spacing w:line="360" w:lineRule="auto"/>
              <w:jc w:val="both"/>
              <w:rPr>
                <w:rFonts w:hint="eastAsia" w:ascii="宋体" w:hAnsi="宋体" w:eastAsia="宋体" w:cs="宋体"/>
                <w:b/>
                <w:bCs/>
                <w:color w:val="auto"/>
                <w:sz w:val="32"/>
                <w:szCs w:val="32"/>
                <w:highlight w:val="none"/>
                <w:vertAlign w:val="baseline"/>
              </w:rPr>
            </w:pPr>
          </w:p>
        </w:tc>
        <w:tc>
          <w:tcPr>
            <w:tcW w:w="1725" w:type="dxa"/>
            <w:vAlign w:val="center"/>
          </w:tcPr>
          <w:p w14:paraId="79FC75D4">
            <w:pPr>
              <w:widowControl w:val="0"/>
              <w:numPr>
                <w:ilvl w:val="0"/>
                <w:numId w:val="0"/>
              </w:numPr>
              <w:spacing w:line="360" w:lineRule="auto"/>
              <w:jc w:val="left"/>
              <w:rPr>
                <w:rFonts w:hint="eastAsia" w:ascii="宋体" w:hAnsi="宋体" w:eastAsia="宋体" w:cs="宋体"/>
                <w:color w:val="auto"/>
                <w:highlight w:val="none"/>
                <w:lang w:val="en-US" w:eastAsia="zh-CN"/>
              </w:rPr>
            </w:pPr>
          </w:p>
        </w:tc>
      </w:tr>
    </w:tbl>
    <w:p w14:paraId="4B167866">
      <w:pPr>
        <w:spacing w:line="360" w:lineRule="auto"/>
        <w:jc w:val="left"/>
        <w:rPr>
          <w:rFonts w:hint="eastAsia" w:ascii="宋体" w:hAnsi="宋体" w:eastAsia="宋体" w:cs="宋体"/>
          <w:b/>
          <w:color w:val="auto"/>
          <w:sz w:val="24"/>
          <w:szCs w:val="24"/>
          <w:highlight w:val="none"/>
          <w:lang w:val="en-US"/>
        </w:rPr>
      </w:pPr>
      <w:r>
        <w:rPr>
          <w:rFonts w:hint="eastAsia" w:ascii="宋体" w:hAnsi="宋体" w:eastAsia="宋体" w:cs="宋体"/>
          <w:b/>
          <w:color w:val="auto"/>
          <w:sz w:val="24"/>
          <w:szCs w:val="24"/>
          <w:highlight w:val="none"/>
        </w:rPr>
        <w:t>注：1.此表报价</w:t>
      </w:r>
      <w:r>
        <w:rPr>
          <w:rFonts w:hint="eastAsia" w:ascii="宋体" w:hAnsi="宋体" w:eastAsia="宋体" w:cs="宋体"/>
          <w:b/>
          <w:color w:val="auto"/>
          <w:sz w:val="24"/>
          <w:szCs w:val="24"/>
          <w:highlight w:val="none"/>
          <w:lang w:val="en-US" w:eastAsia="zh-CN"/>
        </w:rPr>
        <w:t>应含报价人</w:t>
      </w:r>
      <w:r>
        <w:rPr>
          <w:rFonts w:hint="eastAsia" w:ascii="宋体" w:hAnsi="宋体" w:eastAsia="宋体" w:cs="宋体"/>
          <w:b/>
          <w:color w:val="auto"/>
          <w:sz w:val="24"/>
          <w:szCs w:val="24"/>
          <w:highlight w:val="none"/>
        </w:rPr>
        <w:t>完成《内部运营优化咨询服务</w:t>
      </w:r>
      <w:r>
        <w:rPr>
          <w:rFonts w:hint="eastAsia" w:ascii="宋体" w:hAnsi="宋体" w:eastAsia="宋体" w:cs="宋体"/>
          <w:b/>
          <w:color w:val="auto"/>
          <w:sz w:val="24"/>
          <w:szCs w:val="24"/>
          <w:highlight w:val="none"/>
          <w:lang w:val="en-US" w:eastAsia="zh-CN"/>
        </w:rPr>
        <w:t>项目</w:t>
      </w:r>
      <w:r>
        <w:rPr>
          <w:rFonts w:hint="eastAsia" w:ascii="宋体" w:hAnsi="宋体" w:eastAsia="宋体" w:cs="宋体"/>
          <w:b/>
          <w:color w:val="auto"/>
          <w:sz w:val="24"/>
          <w:szCs w:val="24"/>
          <w:highlight w:val="none"/>
        </w:rPr>
        <w:t>采购需求说明》全部工作及要求的所有费用，</w:t>
      </w:r>
      <w:r>
        <w:rPr>
          <w:rFonts w:hint="eastAsia" w:ascii="宋体" w:hAnsi="宋体" w:eastAsia="宋体" w:cs="宋体"/>
          <w:b/>
          <w:color w:val="auto"/>
          <w:sz w:val="24"/>
          <w:szCs w:val="24"/>
          <w:highlight w:val="none"/>
          <w:lang w:val="en-US" w:eastAsia="zh-CN"/>
        </w:rPr>
        <w:t>每个阶段报价应该包括对应阶段的</w:t>
      </w:r>
      <w:r>
        <w:rPr>
          <w:rFonts w:hint="eastAsia" w:ascii="宋体" w:hAnsi="宋体" w:eastAsia="宋体" w:cs="宋体"/>
          <w:b/>
          <w:color w:val="auto"/>
          <w:sz w:val="24"/>
          <w:szCs w:val="24"/>
          <w:highlight w:val="none"/>
        </w:rPr>
        <w:t>人工费、差旅费、成果文本印刷费、管理、利润、税金等相关费用和完成本</w:t>
      </w:r>
      <w:r>
        <w:rPr>
          <w:rFonts w:hint="eastAsia" w:ascii="宋体" w:hAnsi="宋体" w:eastAsia="宋体" w:cs="宋体"/>
          <w:b/>
          <w:color w:val="auto"/>
          <w:sz w:val="24"/>
          <w:szCs w:val="24"/>
          <w:highlight w:val="none"/>
          <w:lang w:val="en-US" w:eastAsia="zh-CN"/>
        </w:rPr>
        <w:t>阶段任务</w:t>
      </w:r>
      <w:r>
        <w:rPr>
          <w:rFonts w:hint="eastAsia" w:ascii="宋体" w:hAnsi="宋体" w:eastAsia="宋体" w:cs="宋体"/>
          <w:b/>
          <w:color w:val="auto"/>
          <w:sz w:val="24"/>
          <w:szCs w:val="24"/>
          <w:highlight w:val="none"/>
        </w:rPr>
        <w:t>不可或缺的工作及责任等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费用不再单列。</w:t>
      </w:r>
    </w:p>
    <w:p w14:paraId="21D60B36">
      <w:pPr>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2.报价人可基于采购人在</w:t>
      </w:r>
      <w:r>
        <w:rPr>
          <w:rFonts w:hint="eastAsia" w:ascii="宋体" w:hAnsi="宋体" w:eastAsia="宋体" w:cs="宋体"/>
          <w:b/>
          <w:bCs w:val="0"/>
          <w:color w:val="auto"/>
          <w:sz w:val="24"/>
          <w:szCs w:val="24"/>
          <w:highlight w:val="none"/>
        </w:rPr>
        <w:t>《内部运营优化咨询服务</w:t>
      </w:r>
      <w:r>
        <w:rPr>
          <w:rFonts w:hint="eastAsia" w:ascii="宋体" w:hAnsi="宋体" w:eastAsia="宋体" w:cs="宋体"/>
          <w:b/>
          <w:bCs w:val="0"/>
          <w:color w:val="auto"/>
          <w:sz w:val="24"/>
          <w:szCs w:val="24"/>
          <w:highlight w:val="none"/>
          <w:lang w:val="en-US" w:eastAsia="zh-CN"/>
        </w:rPr>
        <w:t>项目</w:t>
      </w:r>
      <w:r>
        <w:rPr>
          <w:rFonts w:hint="eastAsia" w:ascii="宋体" w:hAnsi="宋体" w:eastAsia="宋体" w:cs="宋体"/>
          <w:b/>
          <w:bCs w:val="0"/>
          <w:color w:val="auto"/>
          <w:sz w:val="24"/>
          <w:szCs w:val="24"/>
          <w:highlight w:val="none"/>
        </w:rPr>
        <w:t>采购需求说明》</w:t>
      </w:r>
      <w:r>
        <w:rPr>
          <w:rFonts w:hint="eastAsia" w:ascii="宋体" w:hAnsi="宋体" w:eastAsia="宋体" w:cs="宋体"/>
          <w:b/>
          <w:bCs w:val="0"/>
          <w:color w:val="auto"/>
          <w:sz w:val="24"/>
          <w:szCs w:val="24"/>
          <w:highlight w:val="none"/>
          <w:lang w:val="en-US" w:eastAsia="zh-CN"/>
        </w:rPr>
        <w:t>中所要达成的服务目标，采用总价包干形式承接本项目，报价为总承包价。</w:t>
      </w:r>
    </w:p>
    <w:p w14:paraId="6A64C343">
      <w:pPr>
        <w:numPr>
          <w:ilvl w:val="0"/>
          <w:numId w:val="0"/>
        </w:numPr>
        <w:spacing w:line="360" w:lineRule="auto"/>
        <w:ind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3上述</w:t>
      </w:r>
      <w:r>
        <w:rPr>
          <w:rFonts w:hint="eastAsia" w:ascii="宋体" w:hAnsi="宋体" w:eastAsia="宋体" w:cs="宋体"/>
          <w:b/>
          <w:color w:val="auto"/>
          <w:sz w:val="24"/>
          <w:szCs w:val="24"/>
          <w:highlight w:val="none"/>
        </w:rPr>
        <w:t>表格式仅作参考，报价的详细组成格式可自定。</w:t>
      </w:r>
    </w:p>
    <w:p w14:paraId="7C2F82B6">
      <w:pPr>
        <w:spacing w:line="48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（盖章） </w:t>
      </w:r>
    </w:p>
    <w:p w14:paraId="685962CC">
      <w:pPr>
        <w:spacing w:line="48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（签字或签章）</w:t>
      </w:r>
    </w:p>
    <w:p w14:paraId="17A0658F">
      <w:pPr>
        <w:spacing w:line="48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联系人：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E07F36D">
      <w:pPr>
        <w:spacing w:line="480" w:lineRule="auto"/>
        <w:ind w:firstLine="240" w:firstLineChars="1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日期：______</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rPr>
        <w:t>______</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rPr>
        <w:t>_______</w:t>
      </w:r>
      <w:r>
        <w:rPr>
          <w:rFonts w:hint="eastAsia" w:ascii="宋体" w:hAnsi="宋体" w:eastAsia="宋体" w:cs="宋体"/>
          <w:color w:val="auto"/>
          <w:sz w:val="24"/>
          <w:szCs w:val="24"/>
          <w:highlight w:val="none"/>
          <w:lang w:val="zh-CN"/>
        </w:rPr>
        <w:t>日</w:t>
      </w:r>
      <w:bookmarkEnd w:id="0"/>
      <w:bookmarkEnd w:id="1"/>
      <w:bookmarkEnd w:id="2"/>
      <w:bookmarkEnd w:id="3"/>
    </w:p>
    <w:p w14:paraId="3B2F2AA7">
      <w:pPr>
        <w:spacing w:line="360" w:lineRule="auto"/>
        <w:rPr>
          <w:rFonts w:hint="eastAsia" w:ascii="宋体" w:hAnsi="宋体" w:eastAsia="宋体" w:cs="宋体"/>
          <w:b/>
          <w:bCs/>
          <w:color w:val="auto"/>
          <w:sz w:val="24"/>
          <w:szCs w:val="24"/>
          <w:highlight w:val="none"/>
          <w:lang w:val="en-US" w:eastAsia="zh-CN"/>
        </w:rPr>
      </w:pPr>
    </w:p>
    <w:p w14:paraId="42E2F5E3">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附件2：</w:t>
      </w:r>
    </w:p>
    <w:p w14:paraId="0CEFB0DE">
      <w:pPr>
        <w:jc w:val="center"/>
        <w:rPr>
          <w:rFonts w:hint="eastAsia" w:ascii="宋体" w:hAnsi="宋体" w:eastAsia="宋体" w:cs="宋体"/>
          <w:b/>
          <w:bCs/>
          <w:color w:val="auto"/>
          <w:sz w:val="28"/>
          <w:szCs w:val="36"/>
          <w:highlight w:val="none"/>
        </w:rPr>
      </w:pPr>
      <w:r>
        <w:rPr>
          <w:rFonts w:hint="eastAsia" w:ascii="宋体" w:hAnsi="宋体" w:eastAsia="宋体" w:cs="宋体"/>
          <w:b/>
          <w:bCs/>
          <w:color w:val="auto"/>
          <w:sz w:val="28"/>
          <w:szCs w:val="36"/>
          <w:highlight w:val="none"/>
        </w:rPr>
        <w:t>内部运营优化咨询服务</w:t>
      </w:r>
      <w:r>
        <w:rPr>
          <w:rFonts w:hint="eastAsia" w:ascii="宋体" w:hAnsi="宋体" w:eastAsia="宋体" w:cs="宋体"/>
          <w:b/>
          <w:bCs/>
          <w:color w:val="auto"/>
          <w:sz w:val="28"/>
          <w:szCs w:val="36"/>
          <w:highlight w:val="none"/>
          <w:lang w:val="en-US" w:eastAsia="zh-CN"/>
        </w:rPr>
        <w:t>项目</w:t>
      </w:r>
      <w:r>
        <w:rPr>
          <w:rFonts w:hint="eastAsia" w:ascii="宋体" w:hAnsi="宋体" w:eastAsia="宋体" w:cs="宋体"/>
          <w:b/>
          <w:bCs/>
          <w:color w:val="auto"/>
          <w:sz w:val="28"/>
          <w:szCs w:val="36"/>
          <w:highlight w:val="none"/>
        </w:rPr>
        <w:t>采购需求说明</w:t>
      </w:r>
    </w:p>
    <w:p w14:paraId="2B485815">
      <w:pPr>
        <w:rPr>
          <w:rFonts w:hint="eastAsia" w:ascii="宋体" w:hAnsi="宋体" w:eastAsia="宋体" w:cs="宋体"/>
          <w:color w:val="auto"/>
          <w:highlight w:val="none"/>
        </w:rPr>
      </w:pPr>
    </w:p>
    <w:p w14:paraId="441AEBBA">
      <w:pPr>
        <w:rPr>
          <w:rFonts w:hint="eastAsia" w:ascii="宋体" w:hAnsi="宋体" w:eastAsia="宋体" w:cs="宋体"/>
          <w:color w:val="auto"/>
          <w:highlight w:val="none"/>
        </w:rPr>
      </w:pPr>
      <w:r>
        <w:rPr>
          <w:rFonts w:hint="eastAsia" w:ascii="宋体" w:hAnsi="宋体" w:eastAsia="宋体" w:cs="宋体"/>
          <w:color w:val="auto"/>
          <w:highlight w:val="none"/>
        </w:rPr>
        <w:t>一、项目背景</w:t>
      </w:r>
    </w:p>
    <w:p w14:paraId="6CC2CDC2">
      <w:pPr>
        <w:rPr>
          <w:rFonts w:hint="eastAsia" w:ascii="宋体" w:hAnsi="宋体" w:eastAsia="宋体" w:cs="宋体"/>
          <w:color w:val="auto"/>
          <w:highlight w:val="none"/>
        </w:rPr>
      </w:pPr>
    </w:p>
    <w:p w14:paraId="6D88C024">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color w:val="auto"/>
          <w:highlight w:val="none"/>
        </w:rPr>
      </w:pPr>
      <w:r>
        <w:rPr>
          <w:rFonts w:hint="eastAsia" w:ascii="宋体" w:hAnsi="宋体" w:eastAsia="宋体" w:cs="宋体"/>
          <w:color w:val="auto"/>
          <w:highlight w:val="none"/>
        </w:rPr>
        <w:t>欧晟绿色燃料（揭阳）有限公司（以下简称“公司”）负责揭阳市绿源垃圾综合处理与资源利用厂PPP项目的设计、建设、运营、维护及移交。项目设计处理能力1,000吨/日，采用第三代MBT（机械生物处理）+焚烧发电工艺，特许经营期30年（2015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2045年）。公司在</w:t>
      </w:r>
      <w:r>
        <w:rPr>
          <w:rFonts w:hint="eastAsia" w:ascii="宋体" w:hAnsi="宋体" w:eastAsia="宋体" w:cs="宋体"/>
          <w:b/>
          <w:bCs/>
          <w:color w:val="auto"/>
          <w:highlight w:val="none"/>
        </w:rPr>
        <w:t>吨垃圾发电效率、炉渣资源化价值、人员效能、工艺能耗、尾气处理</w:t>
      </w:r>
      <w:r>
        <w:rPr>
          <w:rFonts w:hint="eastAsia" w:ascii="宋体" w:hAnsi="宋体" w:eastAsia="宋体" w:cs="宋体"/>
          <w:color w:val="auto"/>
          <w:highlight w:val="none"/>
        </w:rPr>
        <w:t>等方面仍有较大优化空间。</w:t>
      </w:r>
    </w:p>
    <w:p w14:paraId="629B9387">
      <w:pPr>
        <w:rPr>
          <w:rFonts w:hint="eastAsia" w:ascii="宋体" w:hAnsi="宋体" w:eastAsia="宋体" w:cs="宋体"/>
          <w:color w:val="auto"/>
          <w:highlight w:val="none"/>
          <w:lang w:val="en-US" w:eastAsia="zh-CN"/>
        </w:rPr>
      </w:pPr>
    </w:p>
    <w:p w14:paraId="30420978">
      <w:pPr>
        <w:rPr>
          <w:rFonts w:hint="eastAsia" w:ascii="宋体" w:hAnsi="宋体" w:eastAsia="宋体" w:cs="宋体"/>
          <w:color w:val="auto"/>
          <w:highlight w:val="none"/>
          <w:lang w:eastAsia="zh-CN"/>
        </w:rPr>
      </w:pPr>
      <w:r>
        <w:rPr>
          <w:rFonts w:hint="eastAsia" w:ascii="宋体" w:hAnsi="宋体" w:eastAsia="宋体" w:cs="宋体"/>
          <w:color w:val="auto"/>
          <w:highlight w:val="none"/>
          <w:lang w:val="en-US" w:eastAsia="zh-CN"/>
        </w:rPr>
        <w:t>本项目较传统垃圾焚烧电厂增加了MBT工艺流程，MBT工艺流程：1.</w:t>
      </w:r>
      <w:r>
        <w:rPr>
          <w:rFonts w:hint="eastAsia" w:ascii="宋体" w:hAnsi="宋体" w:eastAsia="宋体" w:cs="宋体"/>
          <w:color w:val="auto"/>
          <w:highlight w:val="none"/>
        </w:rPr>
        <w:t>生活垃圾接收：市政环卫车辆将收运的生活垃圾转运至厂内，卸料至原生垃圾池内</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2</w:t>
      </w:r>
      <w:r>
        <w:rPr>
          <w:rFonts w:hint="eastAsia" w:ascii="宋体" w:hAnsi="宋体" w:cs="宋体"/>
          <w:color w:val="auto"/>
          <w:highlight w:val="none"/>
          <w:lang w:val="en-US" w:eastAsia="zh-CN"/>
        </w:rPr>
        <w:t>.</w:t>
      </w:r>
      <w:r>
        <w:rPr>
          <w:rFonts w:hint="eastAsia" w:ascii="宋体" w:hAnsi="宋体" w:eastAsia="宋体" w:cs="宋体"/>
          <w:color w:val="auto"/>
          <w:highlight w:val="none"/>
        </w:rPr>
        <w:t>生活垃圾预处理：原生垃圾池内的生活垃圾首先被输入到破碎机内进行破碎预处理</w:t>
      </w:r>
      <w:r>
        <w:rPr>
          <w:rFonts w:hint="eastAsia" w:ascii="宋体" w:hAnsi="宋体" w:eastAsia="宋体" w:cs="宋体"/>
          <w:color w:val="auto"/>
          <w:highlight w:val="none"/>
          <w:lang w:val="en-US" w:eastAsia="zh-CN"/>
        </w:rPr>
        <w:t>→</w:t>
      </w:r>
      <w:bookmarkStart w:id="4" w:name="_GoBack"/>
      <w:bookmarkEnd w:id="4"/>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生物干化处理：预处理破碎后物料被输入2座暂存（缓冲）池内，经行车吊转运到20个干化仓内，完成生物干化处理后再经行车吊依次将干化仓内干化后物料转运出仓至后续分选处理</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机械分选处理：干化后的物料</w:t>
      </w:r>
      <w:r>
        <w:rPr>
          <w:rFonts w:hint="eastAsia" w:ascii="宋体" w:hAnsi="宋体" w:eastAsia="宋体" w:cs="宋体"/>
          <w:color w:val="auto"/>
          <w:highlight w:val="none"/>
          <w:lang w:eastAsia="zh-CN"/>
        </w:rPr>
        <w:t>进入</w:t>
      </w:r>
      <w:r>
        <w:rPr>
          <w:rFonts w:hint="eastAsia" w:ascii="宋体" w:hAnsi="宋体" w:eastAsia="宋体" w:cs="宋体"/>
          <w:color w:val="auto"/>
          <w:highlight w:val="none"/>
        </w:rPr>
        <w:t>分选生产线经过磁选、涡电流选、近红外光NIR分选后对可回收利用物进行回收处理，将生活垃圾生产成为不含氯的清洁燃料</w:t>
      </w:r>
      <w:r>
        <w:rPr>
          <w:rFonts w:hint="eastAsia" w:ascii="宋体" w:hAnsi="宋体" w:eastAsia="宋体" w:cs="宋体"/>
          <w:color w:val="auto"/>
          <w:highlight w:val="none"/>
          <w:lang w:eastAsia="zh-CN"/>
        </w:rPr>
        <w:t>。</w:t>
      </w:r>
    </w:p>
    <w:p w14:paraId="36657C6D">
      <w:pPr>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rPr>
        <w:t>附属---自动化控制系统：从Step2 至Step4为全自动化生产，配置了可编程控制器及数据采集和监控系统</w:t>
      </w:r>
      <w:r>
        <w:rPr>
          <w:rFonts w:hint="eastAsia" w:ascii="宋体" w:hAnsi="宋体" w:eastAsia="宋体" w:cs="宋体"/>
          <w:color w:val="auto"/>
          <w:highlight w:val="none"/>
          <w:lang w:eastAsia="zh-CN"/>
        </w:rPr>
        <w:t>）</w:t>
      </w:r>
    </w:p>
    <w:p w14:paraId="5031E7B8">
      <w:pPr>
        <w:rPr>
          <w:rFonts w:hint="eastAsia" w:ascii="宋体" w:hAnsi="宋体" w:eastAsia="宋体" w:cs="宋体"/>
          <w:color w:val="auto"/>
          <w:highlight w:val="none"/>
          <w:lang w:val="en-US" w:eastAsia="zh-CN"/>
        </w:rPr>
      </w:pPr>
    </w:p>
    <w:p w14:paraId="281FE602">
      <w:pPr>
        <w:rPr>
          <w:rFonts w:hint="eastAsia" w:ascii="宋体" w:hAnsi="宋体" w:eastAsia="宋体" w:cs="宋体"/>
          <w:color w:val="auto"/>
          <w:highlight w:val="none"/>
        </w:rPr>
      </w:pPr>
      <w:r>
        <w:rPr>
          <w:rFonts w:hint="eastAsia" w:ascii="宋体" w:hAnsi="宋体" w:eastAsia="宋体" w:cs="宋体"/>
          <w:color w:val="auto"/>
          <w:highlight w:val="none"/>
        </w:rPr>
        <w:t>为全面提升运营水平、挖掘盈利潜力，现面向市场公开采购“内部运营优化咨询服务”。</w:t>
      </w:r>
    </w:p>
    <w:p w14:paraId="7C0FCD4E">
      <w:pPr>
        <w:rPr>
          <w:rFonts w:hint="eastAsia" w:ascii="宋体" w:hAnsi="宋体" w:eastAsia="宋体" w:cs="宋体"/>
          <w:color w:val="auto"/>
          <w:highlight w:val="none"/>
        </w:rPr>
      </w:pPr>
    </w:p>
    <w:p w14:paraId="78C6F5DA">
      <w:pPr>
        <w:rPr>
          <w:rFonts w:hint="eastAsia" w:ascii="宋体" w:hAnsi="宋体" w:eastAsia="宋体" w:cs="宋体"/>
          <w:color w:val="auto"/>
          <w:highlight w:val="none"/>
        </w:rPr>
      </w:pPr>
      <w:r>
        <w:rPr>
          <w:rFonts w:hint="eastAsia" w:ascii="宋体" w:hAnsi="宋体" w:eastAsia="宋体" w:cs="宋体"/>
          <w:color w:val="auto"/>
          <w:highlight w:val="none"/>
        </w:rPr>
        <w:t>二、服务目标</w:t>
      </w:r>
    </w:p>
    <w:p w14:paraId="76155531">
      <w:pPr>
        <w:rPr>
          <w:rFonts w:hint="eastAsia" w:ascii="宋体" w:hAnsi="宋体" w:eastAsia="宋体" w:cs="宋体"/>
          <w:color w:val="auto"/>
          <w:highlight w:val="none"/>
        </w:rPr>
      </w:pPr>
    </w:p>
    <w:p w14:paraId="4849917E">
      <w:pPr>
        <w:rPr>
          <w:rFonts w:hint="eastAsia" w:ascii="宋体" w:hAnsi="宋体" w:eastAsia="宋体" w:cs="宋体"/>
          <w:color w:val="auto"/>
          <w:highlight w:val="none"/>
        </w:rPr>
      </w:pPr>
      <w:r>
        <w:rPr>
          <w:rFonts w:hint="eastAsia" w:ascii="宋体" w:hAnsi="宋体" w:eastAsia="宋体" w:cs="宋体"/>
          <w:color w:val="auto"/>
          <w:highlight w:val="none"/>
        </w:rPr>
        <w:t>通过专业第三方咨询，达成以下目标：</w:t>
      </w:r>
    </w:p>
    <w:p w14:paraId="10DEA355">
      <w:pPr>
        <w:rPr>
          <w:rFonts w:hint="eastAsia" w:ascii="宋体" w:hAnsi="宋体" w:eastAsia="宋体" w:cs="宋体"/>
          <w:color w:val="auto"/>
          <w:highlight w:val="none"/>
        </w:rPr>
      </w:pPr>
    </w:p>
    <w:p w14:paraId="670CF28D">
      <w:pPr>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运营诊断：对公司现有运营全流程（收料、预处理、焚烧、发电、环保排放、炉渣处置、维修维护等）进行全面诊断，识别关键短板与浪费环节。</w:t>
      </w:r>
    </w:p>
    <w:p w14:paraId="4A67264F">
      <w:pPr>
        <w:rPr>
          <w:rFonts w:hint="eastAsia" w:ascii="宋体" w:hAnsi="宋体" w:eastAsia="宋体" w:cs="宋体"/>
          <w:color w:val="auto"/>
          <w:highlight w:val="none"/>
        </w:rPr>
      </w:pPr>
    </w:p>
    <w:p w14:paraId="78A3321B">
      <w:pPr>
        <w:rPr>
          <w:rFonts w:hint="eastAsia" w:ascii="宋体" w:hAnsi="宋体" w:eastAsia="宋体" w:cs="宋体"/>
          <w:color w:val="auto"/>
          <w:highlight w:val="none"/>
        </w:rPr>
      </w:pPr>
      <w:r>
        <w:rPr>
          <w:rFonts w:hint="eastAsia" w:ascii="宋体" w:hAnsi="宋体" w:eastAsia="宋体" w:cs="宋体"/>
          <w:color w:val="auto"/>
          <w:highlight w:val="none"/>
        </w:rPr>
        <w:t>2.优化方案：提出可落地、可量化的改进方案，涵盖</w:t>
      </w:r>
      <w:r>
        <w:rPr>
          <w:rFonts w:hint="eastAsia" w:ascii="宋体" w:hAnsi="宋体" w:eastAsia="宋体" w:cs="宋体"/>
          <w:b/>
          <w:bCs/>
          <w:color w:val="auto"/>
          <w:highlight w:val="none"/>
        </w:rPr>
        <w:t>管理方案</w:t>
      </w:r>
      <w:r>
        <w:rPr>
          <w:rFonts w:hint="eastAsia" w:ascii="宋体" w:hAnsi="宋体" w:eastAsia="宋体" w:cs="宋体"/>
          <w:color w:val="auto"/>
          <w:highlight w:val="none"/>
        </w:rPr>
        <w:t>、</w:t>
      </w:r>
      <w:r>
        <w:rPr>
          <w:rFonts w:hint="eastAsia" w:ascii="宋体" w:hAnsi="宋体" w:eastAsia="宋体" w:cs="宋体"/>
          <w:b/>
          <w:bCs/>
          <w:color w:val="auto"/>
          <w:highlight w:val="none"/>
        </w:rPr>
        <w:t>工艺优化、设备能效提升、人员配置优化、废料处理及尾气处理</w:t>
      </w:r>
      <w:r>
        <w:rPr>
          <w:rFonts w:hint="eastAsia" w:ascii="宋体" w:hAnsi="宋体" w:eastAsia="宋体" w:cs="宋体"/>
          <w:color w:val="auto"/>
          <w:highlight w:val="none"/>
        </w:rPr>
        <w:t>等。</w:t>
      </w:r>
    </w:p>
    <w:p w14:paraId="44B9983B">
      <w:pPr>
        <w:rPr>
          <w:rFonts w:hint="eastAsia" w:ascii="宋体" w:hAnsi="宋体" w:eastAsia="宋体" w:cs="宋体"/>
          <w:color w:val="auto"/>
          <w:highlight w:val="none"/>
        </w:rPr>
      </w:pPr>
    </w:p>
    <w:p w14:paraId="615192F4">
      <w:pPr>
        <w:rPr>
          <w:rFonts w:hint="eastAsia" w:ascii="宋体" w:hAnsi="宋体" w:eastAsia="宋体" w:cs="宋体"/>
          <w:color w:val="auto"/>
          <w:highlight w:val="none"/>
        </w:rPr>
      </w:pPr>
      <w:r>
        <w:rPr>
          <w:rFonts w:hint="eastAsia" w:ascii="宋体" w:hAnsi="宋体" w:eastAsia="宋体" w:cs="宋体"/>
          <w:color w:val="auto"/>
          <w:highlight w:val="none"/>
        </w:rPr>
        <w:t>3.效益提升：帮助公司在6-18个月内实现以下关键指标改善（以2025年为基准）：</w:t>
      </w:r>
    </w:p>
    <w:p w14:paraId="75EF0470">
      <w:pPr>
        <w:rPr>
          <w:rFonts w:hint="eastAsia" w:ascii="宋体" w:hAnsi="宋体" w:eastAsia="宋体" w:cs="宋体"/>
          <w:color w:val="auto"/>
          <w:highlight w:val="none"/>
        </w:rPr>
      </w:pPr>
      <w:r>
        <w:rPr>
          <w:rFonts w:hint="eastAsia" w:ascii="宋体" w:hAnsi="宋体" w:eastAsia="宋体" w:cs="宋体"/>
          <w:color w:val="auto"/>
          <w:highlight w:val="none"/>
        </w:rPr>
        <w:t xml:space="preserve">   - 吨垃圾上网电量从294度恢复至320度以上，力争330度；</w:t>
      </w:r>
    </w:p>
    <w:p w14:paraId="6212C73E">
      <w:pPr>
        <w:rPr>
          <w:rFonts w:hint="eastAsia" w:ascii="宋体" w:hAnsi="宋体" w:eastAsia="宋体" w:cs="宋体"/>
          <w:color w:val="auto"/>
          <w:highlight w:val="none"/>
        </w:rPr>
      </w:pPr>
      <w:r>
        <w:rPr>
          <w:rFonts w:hint="eastAsia" w:ascii="宋体" w:hAnsi="宋体" w:eastAsia="宋体" w:cs="宋体"/>
          <w:color w:val="auto"/>
          <w:highlight w:val="none"/>
        </w:rPr>
        <w:t xml:space="preserve">   - 炉渣处置收益从当前138元/吨过渡价提升至高于200元/吨，或通过自建/合作分选实现更高综合收益；</w:t>
      </w:r>
    </w:p>
    <w:p w14:paraId="10605126">
      <w:pPr>
        <w:rPr>
          <w:rFonts w:hint="eastAsia" w:ascii="宋体" w:hAnsi="宋体" w:eastAsia="宋体" w:cs="宋体"/>
          <w:color w:val="auto"/>
          <w:highlight w:val="none"/>
        </w:rPr>
      </w:pPr>
      <w:r>
        <w:rPr>
          <w:rFonts w:hint="eastAsia" w:ascii="宋体" w:hAnsi="宋体" w:eastAsia="宋体" w:cs="宋体"/>
          <w:color w:val="auto"/>
          <w:highlight w:val="none"/>
        </w:rPr>
        <w:t xml:space="preserve">   - 降低生产环节电耗及辅助能耗，年节能不低于500万元；</w:t>
      </w:r>
    </w:p>
    <w:p w14:paraId="21E879A8">
      <w:pPr>
        <w:rPr>
          <w:rFonts w:hint="eastAsia" w:ascii="宋体" w:hAnsi="宋体" w:eastAsia="宋体" w:cs="宋体"/>
          <w:color w:val="auto"/>
          <w:highlight w:val="none"/>
        </w:rPr>
      </w:pPr>
      <w:r>
        <w:rPr>
          <w:rFonts w:hint="eastAsia" w:ascii="宋体" w:hAnsi="宋体" w:eastAsia="宋体" w:cs="宋体"/>
          <w:color w:val="auto"/>
          <w:highlight w:val="none"/>
        </w:rPr>
        <w:t xml:space="preserve">   - 优化人员配置及薪酬激励，人效提升30%以上。</w:t>
      </w:r>
    </w:p>
    <w:p w14:paraId="2086B24E">
      <w:pPr>
        <w:rPr>
          <w:rFonts w:hint="eastAsia" w:ascii="宋体" w:hAnsi="宋体" w:eastAsia="宋体" w:cs="宋体"/>
          <w:color w:val="auto"/>
          <w:highlight w:val="none"/>
        </w:rPr>
      </w:pPr>
    </w:p>
    <w:p w14:paraId="423722D0">
      <w:pPr>
        <w:rPr>
          <w:rFonts w:hint="eastAsia" w:ascii="宋体" w:hAnsi="宋体" w:eastAsia="宋体" w:cs="宋体"/>
          <w:color w:val="auto"/>
          <w:highlight w:val="none"/>
        </w:rPr>
      </w:pPr>
      <w:r>
        <w:rPr>
          <w:rFonts w:hint="eastAsia" w:ascii="宋体" w:hAnsi="宋体" w:eastAsia="宋体" w:cs="宋体"/>
          <w:color w:val="auto"/>
          <w:highlight w:val="none"/>
        </w:rPr>
        <w:t>4.能力建设：协助公司培养内部运营管理团队，建立持续改进机制。</w:t>
      </w:r>
    </w:p>
    <w:p w14:paraId="15D63C38">
      <w:pPr>
        <w:rPr>
          <w:rFonts w:hint="eastAsia" w:ascii="宋体" w:hAnsi="宋体" w:eastAsia="宋体" w:cs="宋体"/>
          <w:color w:val="auto"/>
          <w:highlight w:val="none"/>
        </w:rPr>
      </w:pPr>
    </w:p>
    <w:p w14:paraId="60B00E1D">
      <w:pPr>
        <w:rPr>
          <w:rFonts w:hint="eastAsia" w:ascii="宋体" w:hAnsi="宋体" w:eastAsia="宋体" w:cs="宋体"/>
          <w:color w:val="auto"/>
          <w:highlight w:val="none"/>
        </w:rPr>
      </w:pPr>
      <w:r>
        <w:rPr>
          <w:rFonts w:hint="eastAsia" w:ascii="宋体" w:hAnsi="宋体" w:eastAsia="宋体" w:cs="宋体"/>
          <w:color w:val="auto"/>
          <w:highlight w:val="none"/>
        </w:rPr>
        <w:t>三、服务范围及内容</w:t>
      </w:r>
    </w:p>
    <w:p w14:paraId="164CE1C6">
      <w:pPr>
        <w:rPr>
          <w:rFonts w:hint="eastAsia" w:ascii="宋体" w:hAnsi="宋体" w:eastAsia="宋体" w:cs="宋体"/>
          <w:color w:val="auto"/>
          <w:highlight w:val="none"/>
        </w:rPr>
      </w:pPr>
    </w:p>
    <w:p w14:paraId="5AD53B4F">
      <w:pPr>
        <w:rPr>
          <w:rFonts w:hint="eastAsia" w:ascii="宋体" w:hAnsi="宋体" w:eastAsia="宋体" w:cs="宋体"/>
          <w:color w:val="auto"/>
          <w:highlight w:val="none"/>
        </w:rPr>
      </w:pPr>
      <w:r>
        <w:rPr>
          <w:rFonts w:hint="eastAsia" w:ascii="宋体" w:hAnsi="宋体" w:eastAsia="宋体" w:cs="宋体"/>
          <w:color w:val="auto"/>
          <w:highlight w:val="none"/>
        </w:rPr>
        <w:t>3.1运营全流程诊断（必选）</w:t>
      </w:r>
    </w:p>
    <w:p w14:paraId="49C8B17F">
      <w:pPr>
        <w:rPr>
          <w:rFonts w:hint="eastAsia" w:ascii="宋体" w:hAnsi="宋体" w:eastAsia="宋体" w:cs="宋体"/>
          <w:color w:val="auto"/>
          <w:highlight w:val="none"/>
        </w:rPr>
      </w:pPr>
    </w:p>
    <w:p w14:paraId="29AB9023">
      <w:pPr>
        <w:rPr>
          <w:rFonts w:hint="eastAsia" w:ascii="宋体" w:hAnsi="宋体" w:eastAsia="宋体" w:cs="宋体"/>
          <w:color w:val="auto"/>
          <w:highlight w:val="none"/>
        </w:rPr>
      </w:pPr>
      <w:r>
        <w:rPr>
          <w:rFonts w:hint="eastAsia" w:ascii="宋体" w:hAnsi="宋体" w:eastAsia="宋体" w:cs="宋体"/>
          <w:color w:val="auto"/>
          <w:highlight w:val="none"/>
        </w:rPr>
        <w:t>- 对MBT预处理线（破碎、生物干化、分选、RDF制备）运行效率、能耗、出料质量进行评估；</w:t>
      </w:r>
    </w:p>
    <w:p w14:paraId="785CC363">
      <w:pPr>
        <w:rPr>
          <w:rFonts w:hint="eastAsia" w:ascii="宋体" w:hAnsi="宋体" w:eastAsia="宋体" w:cs="宋体"/>
          <w:color w:val="auto"/>
          <w:highlight w:val="none"/>
        </w:rPr>
      </w:pPr>
      <w:r>
        <w:rPr>
          <w:rFonts w:hint="eastAsia" w:ascii="宋体" w:hAnsi="宋体" w:eastAsia="宋体" w:cs="宋体"/>
          <w:color w:val="auto"/>
          <w:highlight w:val="none"/>
        </w:rPr>
        <w:t>- 对焚烧炉及余热锅炉、汽轮发电机组运行参数、吨发电量、厂用电率、非计划停运次数等进行分析；</w:t>
      </w:r>
    </w:p>
    <w:p w14:paraId="53BE936E">
      <w:pPr>
        <w:rPr>
          <w:rFonts w:hint="eastAsia" w:ascii="宋体" w:hAnsi="宋体" w:eastAsia="宋体" w:cs="宋体"/>
          <w:color w:val="auto"/>
          <w:highlight w:val="none"/>
        </w:rPr>
      </w:pPr>
      <w:r>
        <w:rPr>
          <w:rFonts w:hint="eastAsia" w:ascii="宋体" w:hAnsi="宋体" w:eastAsia="宋体" w:cs="宋体"/>
          <w:color w:val="auto"/>
          <w:highlight w:val="none"/>
        </w:rPr>
        <w:t>- 对环保排放（烟气、废水、飞灰、臭味控制）合规性及成本进行评审；</w:t>
      </w:r>
    </w:p>
    <w:p w14:paraId="5774E330">
      <w:pPr>
        <w:rPr>
          <w:rFonts w:hint="eastAsia" w:ascii="宋体" w:hAnsi="宋体" w:eastAsia="宋体" w:cs="宋体"/>
          <w:color w:val="auto"/>
          <w:highlight w:val="none"/>
        </w:rPr>
      </w:pPr>
      <w:r>
        <w:rPr>
          <w:rFonts w:hint="eastAsia" w:ascii="宋体" w:hAnsi="宋体" w:eastAsia="宋体" w:cs="宋体"/>
          <w:color w:val="auto"/>
          <w:highlight w:val="none"/>
        </w:rPr>
        <w:t>- 对维修维护体系、备件库存管理、设备全生命周期成本进行评估；</w:t>
      </w:r>
    </w:p>
    <w:p w14:paraId="3463DFB6">
      <w:pPr>
        <w:rPr>
          <w:rFonts w:hint="eastAsia" w:ascii="宋体" w:hAnsi="宋体" w:eastAsia="宋体" w:cs="宋体"/>
          <w:color w:val="auto"/>
          <w:highlight w:val="none"/>
        </w:rPr>
      </w:pPr>
      <w:r>
        <w:rPr>
          <w:rFonts w:hint="eastAsia" w:ascii="宋体" w:hAnsi="宋体" w:eastAsia="宋体" w:cs="宋体"/>
          <w:color w:val="auto"/>
          <w:highlight w:val="none"/>
        </w:rPr>
        <w:t>- 对人员配置、岗位职责、绩效考核、培训体系进行诊断。</w:t>
      </w:r>
    </w:p>
    <w:p w14:paraId="13A37015">
      <w:pPr>
        <w:rPr>
          <w:rFonts w:hint="eastAsia" w:ascii="宋体" w:hAnsi="宋体" w:eastAsia="宋体" w:cs="宋体"/>
          <w:color w:val="auto"/>
          <w:highlight w:val="none"/>
        </w:rPr>
      </w:pPr>
    </w:p>
    <w:p w14:paraId="3872D859">
      <w:pPr>
        <w:rPr>
          <w:rFonts w:hint="eastAsia" w:ascii="宋体" w:hAnsi="宋体" w:eastAsia="宋体" w:cs="宋体"/>
          <w:color w:val="auto"/>
          <w:highlight w:val="none"/>
        </w:rPr>
      </w:pPr>
      <w:r>
        <w:rPr>
          <w:rFonts w:hint="eastAsia" w:ascii="宋体" w:hAnsi="宋体" w:eastAsia="宋体" w:cs="宋体"/>
          <w:color w:val="auto"/>
          <w:highlight w:val="none"/>
        </w:rPr>
        <w:t>3.2专项优化方案（可基于诊断结果分项报价）</w:t>
      </w:r>
    </w:p>
    <w:p w14:paraId="7A56B980">
      <w:pPr>
        <w:rPr>
          <w:rFonts w:hint="eastAsia" w:ascii="宋体" w:hAnsi="宋体" w:eastAsia="宋体" w:cs="宋体"/>
          <w:color w:val="auto"/>
          <w:highlight w:val="none"/>
        </w:rPr>
      </w:pPr>
    </w:p>
    <w:p w14:paraId="1BD4B271">
      <w:pPr>
        <w:rPr>
          <w:rFonts w:hint="eastAsia" w:ascii="宋体" w:hAnsi="宋体" w:eastAsia="宋体" w:cs="宋体"/>
          <w:color w:val="auto"/>
          <w:highlight w:val="none"/>
        </w:rPr>
      </w:pPr>
      <w:r>
        <w:rPr>
          <w:rFonts w:hint="eastAsia" w:ascii="宋体" w:hAnsi="宋体" w:eastAsia="宋体" w:cs="宋体"/>
          <w:color w:val="auto"/>
          <w:highlight w:val="none"/>
        </w:rPr>
        <w:t>- 工艺优化子项：生物干化周期及控制优化、焚烧炉配风及燃烧调整、余热回收利用方案（包括向周边工业用户供蒸汽可行性研究）。</w:t>
      </w:r>
    </w:p>
    <w:p w14:paraId="72919BB7">
      <w:pPr>
        <w:rPr>
          <w:rFonts w:hint="eastAsia" w:ascii="宋体" w:hAnsi="宋体" w:eastAsia="宋体" w:cs="宋体"/>
          <w:color w:val="auto"/>
          <w:highlight w:val="none"/>
        </w:rPr>
      </w:pPr>
      <w:r>
        <w:rPr>
          <w:rFonts w:hint="eastAsia" w:ascii="宋体" w:hAnsi="宋体" w:eastAsia="宋体" w:cs="宋体"/>
          <w:color w:val="auto"/>
          <w:highlight w:val="none"/>
        </w:rPr>
        <w:t>- 炉渣资源化子项：炉渣金属（铁、铜、铝等）回收技术方案与投资回报分析；建材化利用（制砖、骨料）路径评估；第三方合作或自建处理线的商务模式设计。</w:t>
      </w:r>
    </w:p>
    <w:p w14:paraId="3185E7C6">
      <w:pPr>
        <w:rPr>
          <w:rFonts w:hint="eastAsia" w:ascii="宋体" w:hAnsi="宋体" w:eastAsia="宋体" w:cs="宋体"/>
          <w:color w:val="auto"/>
          <w:highlight w:val="none"/>
        </w:rPr>
      </w:pPr>
      <w:r>
        <w:rPr>
          <w:rFonts w:hint="eastAsia" w:ascii="宋体" w:hAnsi="宋体" w:eastAsia="宋体" w:cs="宋体"/>
          <w:color w:val="auto"/>
          <w:highlight w:val="none"/>
        </w:rPr>
        <w:t>- 能效提升子项：主要耗能设备（风机、泵、输送机等）能效测试与改造建议；照明、空调等辅助系统节能方案。</w:t>
      </w:r>
    </w:p>
    <w:p w14:paraId="5A59D488">
      <w:pPr>
        <w:rPr>
          <w:rFonts w:hint="eastAsia" w:ascii="宋体" w:hAnsi="宋体" w:eastAsia="宋体" w:cs="宋体"/>
          <w:color w:val="auto"/>
          <w:highlight w:val="none"/>
        </w:rPr>
      </w:pPr>
      <w:r>
        <w:rPr>
          <w:rFonts w:hint="eastAsia" w:ascii="宋体" w:hAnsi="宋体" w:eastAsia="宋体" w:cs="宋体"/>
          <w:color w:val="auto"/>
          <w:highlight w:val="none"/>
        </w:rPr>
        <w:t>- 管理优化子项：组织架构及岗位编制优化建议；以KPI为核心的运营方案</w:t>
      </w:r>
    </w:p>
    <w:p w14:paraId="05993AED">
      <w:pPr>
        <w:rPr>
          <w:rFonts w:hint="eastAsia" w:ascii="宋体" w:hAnsi="宋体" w:eastAsia="宋体" w:cs="宋体"/>
          <w:color w:val="auto"/>
          <w:highlight w:val="none"/>
        </w:rPr>
      </w:pPr>
      <w:r>
        <w:rPr>
          <w:rFonts w:hint="eastAsia" w:ascii="宋体" w:hAnsi="宋体" w:eastAsia="宋体" w:cs="宋体"/>
          <w:color w:val="auto"/>
          <w:highlight w:val="none"/>
        </w:rPr>
        <w:t>人员优化方案：工艺改进、维修等专项外包等方式实现人员优化。</w:t>
      </w:r>
    </w:p>
    <w:p w14:paraId="1662FD72">
      <w:pPr>
        <w:rPr>
          <w:rFonts w:hint="eastAsia" w:ascii="宋体" w:hAnsi="宋体" w:eastAsia="宋体" w:cs="宋体"/>
          <w:color w:val="auto"/>
          <w:highlight w:val="none"/>
        </w:rPr>
      </w:pPr>
    </w:p>
    <w:p w14:paraId="4F76678F">
      <w:pPr>
        <w:rPr>
          <w:rFonts w:hint="eastAsia" w:ascii="宋体" w:hAnsi="宋体" w:eastAsia="宋体" w:cs="宋体"/>
          <w:color w:val="auto"/>
          <w:highlight w:val="none"/>
        </w:rPr>
      </w:pPr>
      <w:r>
        <w:rPr>
          <w:rFonts w:hint="eastAsia" w:ascii="宋体" w:hAnsi="宋体" w:eastAsia="宋体" w:cs="宋体"/>
          <w:color w:val="auto"/>
          <w:highlight w:val="none"/>
        </w:rPr>
        <w:t>3.3实施辅导</w:t>
      </w:r>
    </w:p>
    <w:p w14:paraId="44DAD5FA">
      <w:pPr>
        <w:rPr>
          <w:rFonts w:hint="eastAsia" w:ascii="宋体" w:hAnsi="宋体" w:eastAsia="宋体" w:cs="宋体"/>
          <w:color w:val="auto"/>
          <w:highlight w:val="none"/>
        </w:rPr>
      </w:pPr>
    </w:p>
    <w:p w14:paraId="5BB95FE4">
      <w:pPr>
        <w:rPr>
          <w:rFonts w:hint="eastAsia" w:ascii="宋体" w:hAnsi="宋体" w:eastAsia="宋体" w:cs="宋体"/>
          <w:color w:val="auto"/>
          <w:highlight w:val="none"/>
        </w:rPr>
      </w:pPr>
      <w:r>
        <w:rPr>
          <w:rFonts w:hint="eastAsia" w:ascii="宋体" w:hAnsi="宋体" w:eastAsia="宋体" w:cs="宋体"/>
          <w:color w:val="auto"/>
          <w:highlight w:val="none"/>
        </w:rPr>
        <w:t>- 在优化方案通过后，提供不少于6个月的现场或远程实施辅导，协助公司团队落地改进措施；</w:t>
      </w:r>
    </w:p>
    <w:p w14:paraId="5312F676">
      <w:pPr>
        <w:rPr>
          <w:rFonts w:hint="eastAsia" w:ascii="宋体" w:hAnsi="宋体" w:eastAsia="宋体" w:cs="宋体"/>
          <w:color w:val="auto"/>
          <w:highlight w:val="none"/>
        </w:rPr>
      </w:pPr>
      <w:r>
        <w:rPr>
          <w:rFonts w:hint="eastAsia" w:ascii="宋体" w:hAnsi="宋体" w:eastAsia="宋体" w:cs="宋体"/>
          <w:color w:val="auto"/>
          <w:highlight w:val="none"/>
        </w:rPr>
        <w:t>- 每月出具实施进度报告，对偏离目标的事项提出纠正建议。</w:t>
      </w:r>
    </w:p>
    <w:p w14:paraId="3D772682">
      <w:pPr>
        <w:rPr>
          <w:rFonts w:hint="eastAsia" w:ascii="宋体" w:hAnsi="宋体" w:eastAsia="宋体" w:cs="宋体"/>
          <w:color w:val="auto"/>
          <w:highlight w:val="none"/>
        </w:rPr>
      </w:pPr>
    </w:p>
    <w:p w14:paraId="173E21A9">
      <w:pPr>
        <w:rPr>
          <w:rFonts w:hint="eastAsia" w:ascii="宋体" w:hAnsi="宋体" w:eastAsia="宋体" w:cs="宋体"/>
          <w:color w:val="auto"/>
          <w:highlight w:val="none"/>
        </w:rPr>
      </w:pPr>
      <w:r>
        <w:rPr>
          <w:rFonts w:hint="eastAsia" w:ascii="宋体" w:hAnsi="宋体" w:eastAsia="宋体" w:cs="宋体"/>
          <w:color w:val="auto"/>
          <w:highlight w:val="none"/>
        </w:rPr>
        <w:t>四、交付成果</w:t>
      </w:r>
    </w:p>
    <w:p w14:paraId="388F9CFC">
      <w:pPr>
        <w:rPr>
          <w:rFonts w:hint="eastAsia" w:ascii="宋体" w:hAnsi="宋体" w:eastAsia="宋体" w:cs="宋体"/>
          <w:color w:val="auto"/>
          <w:highlight w:val="none"/>
        </w:rPr>
      </w:pPr>
    </w:p>
    <w:p w14:paraId="66994149">
      <w:pPr>
        <w:rPr>
          <w:rFonts w:hint="eastAsia" w:ascii="宋体" w:hAnsi="宋体" w:eastAsia="宋体" w:cs="宋体"/>
          <w:color w:val="auto"/>
          <w:highlight w:val="none"/>
        </w:rPr>
      </w:pPr>
      <w:r>
        <w:rPr>
          <w:rFonts w:hint="eastAsia" w:ascii="宋体" w:hAnsi="宋体" w:eastAsia="宋体" w:cs="宋体"/>
          <w:color w:val="auto"/>
          <w:highlight w:val="none"/>
        </w:rPr>
        <w:t>1.《运营全流程诊断报告》（含数据对标、问题清单、根因分析）</w:t>
      </w:r>
    </w:p>
    <w:p w14:paraId="71E6E52F">
      <w:pPr>
        <w:rPr>
          <w:rFonts w:hint="eastAsia" w:ascii="宋体" w:hAnsi="宋体" w:eastAsia="宋体" w:cs="宋体"/>
          <w:color w:val="auto"/>
          <w:highlight w:val="none"/>
        </w:rPr>
      </w:pPr>
      <w:r>
        <w:rPr>
          <w:rFonts w:hint="eastAsia" w:ascii="宋体" w:hAnsi="宋体" w:eastAsia="宋体" w:cs="宋体"/>
          <w:color w:val="auto"/>
          <w:highlight w:val="none"/>
        </w:rPr>
        <w:t>2.《工艺优化方案总报告》（含分项改进措施、实施路线图、投资</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收益测算）</w:t>
      </w:r>
    </w:p>
    <w:p w14:paraId="123B6D00">
      <w:pPr>
        <w:rPr>
          <w:rFonts w:hint="eastAsia" w:ascii="宋体" w:hAnsi="宋体" w:eastAsia="宋体" w:cs="宋体"/>
          <w:color w:val="auto"/>
          <w:highlight w:val="none"/>
        </w:rPr>
      </w:pPr>
      <w:r>
        <w:rPr>
          <w:rFonts w:hint="eastAsia" w:ascii="宋体" w:hAnsi="宋体" w:eastAsia="宋体" w:cs="宋体"/>
          <w:color w:val="auto"/>
          <w:highlight w:val="none"/>
        </w:rPr>
        <w:t>3.《节能降耗专项报告》（含能耗基准、节能措施清单、预期节约量）</w:t>
      </w:r>
    </w:p>
    <w:p w14:paraId="7248D1E2">
      <w:pPr>
        <w:rPr>
          <w:rFonts w:hint="eastAsia" w:ascii="宋体" w:hAnsi="宋体" w:eastAsia="宋体" w:cs="宋体"/>
          <w:color w:val="auto"/>
          <w:highlight w:val="none"/>
        </w:rPr>
      </w:pPr>
      <w:r>
        <w:rPr>
          <w:rFonts w:hint="eastAsia" w:ascii="宋体" w:hAnsi="宋体" w:eastAsia="宋体" w:cs="宋体"/>
          <w:color w:val="auto"/>
          <w:highlight w:val="none"/>
        </w:rPr>
        <w:t>4.《炉渣资源化可行性研究报告》（含技术路线比选、投资估算、财务分析、合作模式建议）</w:t>
      </w:r>
    </w:p>
    <w:p w14:paraId="6601CD69">
      <w:pPr>
        <w:rPr>
          <w:rFonts w:hint="eastAsia" w:ascii="宋体" w:hAnsi="宋体" w:eastAsia="宋体" w:cs="宋体"/>
          <w:color w:val="auto"/>
          <w:highlight w:val="none"/>
        </w:rPr>
      </w:pPr>
      <w:r>
        <w:rPr>
          <w:rFonts w:hint="eastAsia" w:ascii="宋体" w:hAnsi="宋体" w:eastAsia="宋体" w:cs="宋体"/>
          <w:color w:val="auto"/>
          <w:highlight w:val="none"/>
        </w:rPr>
        <w:t>5.《人员优化方案》（含组织优化、绩效考核制度草案、关键岗位说明书、管理制度及流程）</w:t>
      </w:r>
    </w:p>
    <w:p w14:paraId="52722AD5">
      <w:pPr>
        <w:rPr>
          <w:rFonts w:hint="eastAsia" w:ascii="宋体" w:hAnsi="宋体" w:eastAsia="宋体" w:cs="宋体"/>
          <w:color w:val="auto"/>
          <w:highlight w:val="none"/>
        </w:rPr>
      </w:pPr>
      <w:r>
        <w:rPr>
          <w:rFonts w:hint="eastAsia" w:ascii="宋体" w:hAnsi="宋体" w:eastAsia="宋体" w:cs="宋体"/>
          <w:color w:val="auto"/>
          <w:highlight w:val="none"/>
        </w:rPr>
        <w:t>6.（如含实施辅导）《月度改进跟踪报告》及终期《项目结项报告》</w:t>
      </w:r>
    </w:p>
    <w:p w14:paraId="4E701CB5">
      <w:pPr>
        <w:rPr>
          <w:rFonts w:hint="eastAsia" w:ascii="宋体" w:hAnsi="宋体" w:eastAsia="宋体" w:cs="宋体"/>
          <w:color w:val="auto"/>
          <w:highlight w:val="none"/>
        </w:rPr>
      </w:pPr>
    </w:p>
    <w:p w14:paraId="5DA44AC7">
      <w:pPr>
        <w:rPr>
          <w:rFonts w:hint="eastAsia" w:ascii="宋体" w:hAnsi="宋体" w:eastAsia="宋体" w:cs="宋体"/>
          <w:color w:val="auto"/>
          <w:highlight w:val="none"/>
        </w:rPr>
      </w:pPr>
      <w:r>
        <w:rPr>
          <w:rFonts w:hint="eastAsia" w:ascii="宋体" w:hAnsi="宋体" w:eastAsia="宋体" w:cs="宋体"/>
          <w:color w:val="auto"/>
          <w:highlight w:val="none"/>
        </w:rPr>
        <w:t>所有报告须提供电子版（Word/Excel/PPT）及纸质版6份。</w:t>
      </w:r>
    </w:p>
    <w:p w14:paraId="71E955D5">
      <w:pPr>
        <w:rPr>
          <w:rFonts w:hint="eastAsia" w:ascii="宋体" w:hAnsi="宋体" w:eastAsia="宋体" w:cs="宋体"/>
          <w:color w:val="auto"/>
          <w:highlight w:val="none"/>
        </w:rPr>
      </w:pPr>
    </w:p>
    <w:p w14:paraId="031BBDFB">
      <w:pPr>
        <w:rPr>
          <w:rFonts w:hint="eastAsia" w:ascii="宋体" w:hAnsi="宋体" w:eastAsia="宋体" w:cs="宋体"/>
          <w:color w:val="auto"/>
          <w:highlight w:val="none"/>
        </w:rPr>
      </w:pPr>
      <w:r>
        <w:rPr>
          <w:rFonts w:hint="eastAsia" w:ascii="宋体" w:hAnsi="宋体" w:eastAsia="宋体" w:cs="宋体"/>
          <w:color w:val="auto"/>
          <w:highlight w:val="none"/>
        </w:rPr>
        <w:t>五、对供应商（咨询公司）的资质要求</w:t>
      </w:r>
    </w:p>
    <w:p w14:paraId="10392604">
      <w:pPr>
        <w:rPr>
          <w:rFonts w:hint="eastAsia" w:ascii="宋体" w:hAnsi="宋体" w:eastAsia="宋体" w:cs="宋体"/>
          <w:color w:val="auto"/>
          <w:highlight w:val="none"/>
        </w:rPr>
      </w:pPr>
    </w:p>
    <w:p w14:paraId="1FE8BA17">
      <w:pPr>
        <w:rPr>
          <w:rFonts w:hint="eastAsia" w:ascii="宋体" w:hAnsi="宋体" w:eastAsia="宋体" w:cs="宋体"/>
          <w:color w:val="auto"/>
          <w:highlight w:val="none"/>
        </w:rPr>
      </w:pPr>
      <w:r>
        <w:rPr>
          <w:rFonts w:hint="eastAsia" w:ascii="宋体" w:hAnsi="宋体" w:eastAsia="宋体" w:cs="宋体"/>
          <w:color w:val="auto"/>
          <w:highlight w:val="none"/>
        </w:rPr>
        <w:t>1.行业经验：近5年内至少完成3个类似规模（日处理500吨以上）垃圾焚烧或MBT项目的运营诊断/优化咨询项目，需提供合同关键页及用户评价证明。</w:t>
      </w:r>
    </w:p>
    <w:p w14:paraId="704C49AD">
      <w:pPr>
        <w:rPr>
          <w:rFonts w:hint="eastAsia" w:ascii="宋体" w:hAnsi="宋体" w:eastAsia="宋体" w:cs="宋体"/>
          <w:color w:val="auto"/>
          <w:highlight w:val="none"/>
        </w:rPr>
      </w:pPr>
    </w:p>
    <w:p w14:paraId="14B20914">
      <w:pPr>
        <w:rPr>
          <w:rFonts w:hint="eastAsia" w:ascii="宋体" w:hAnsi="宋体" w:eastAsia="宋体" w:cs="宋体"/>
          <w:color w:val="auto"/>
          <w:highlight w:val="none"/>
        </w:rPr>
      </w:pPr>
      <w:r>
        <w:rPr>
          <w:rFonts w:hint="eastAsia" w:ascii="宋体" w:hAnsi="宋体" w:eastAsia="宋体" w:cs="宋体"/>
          <w:color w:val="auto"/>
          <w:highlight w:val="none"/>
        </w:rPr>
        <w:t>2.技术能力：团队中须具备熟悉MBT工艺、焚烧发电、炉渣资源化、能源管理等方面的专家，可提供人员简历。</w:t>
      </w:r>
    </w:p>
    <w:p w14:paraId="16789191">
      <w:pPr>
        <w:rPr>
          <w:rFonts w:hint="eastAsia" w:ascii="宋体" w:hAnsi="宋体" w:eastAsia="宋体" w:cs="宋体"/>
          <w:color w:val="auto"/>
          <w:highlight w:val="none"/>
        </w:rPr>
      </w:pPr>
    </w:p>
    <w:p w14:paraId="2C1DA506">
      <w:pPr>
        <w:rPr>
          <w:rFonts w:hint="eastAsia" w:ascii="宋体" w:hAnsi="宋体" w:eastAsia="宋体" w:cs="宋体"/>
          <w:color w:val="auto"/>
          <w:highlight w:val="none"/>
        </w:rPr>
      </w:pPr>
      <w:r>
        <w:rPr>
          <w:rFonts w:hint="eastAsia" w:ascii="宋体" w:hAnsi="宋体" w:eastAsia="宋体" w:cs="宋体"/>
          <w:color w:val="auto"/>
          <w:highlight w:val="none"/>
        </w:rPr>
        <w:t>3.项目团队：拟派项目负责人应有8年以上固废领域咨询或运营管理经验，驻场时间不少于总服务时间的60%。</w:t>
      </w:r>
    </w:p>
    <w:p w14:paraId="3BD8511F">
      <w:pPr>
        <w:rPr>
          <w:rFonts w:hint="eastAsia" w:ascii="宋体" w:hAnsi="宋体" w:eastAsia="宋体" w:cs="宋体"/>
          <w:color w:val="auto"/>
          <w:highlight w:val="none"/>
        </w:rPr>
      </w:pPr>
    </w:p>
    <w:p w14:paraId="5E66D099">
      <w:pPr>
        <w:rPr>
          <w:rFonts w:hint="eastAsia" w:ascii="宋体" w:hAnsi="宋体" w:eastAsia="宋体" w:cs="宋体"/>
          <w:color w:val="auto"/>
          <w:highlight w:val="none"/>
        </w:rPr>
      </w:pPr>
      <w:r>
        <w:rPr>
          <w:rFonts w:hint="eastAsia" w:ascii="宋体" w:hAnsi="宋体" w:eastAsia="宋体" w:cs="宋体"/>
          <w:color w:val="auto"/>
          <w:highlight w:val="none"/>
        </w:rPr>
        <w:t>4.独立性：供应商及其关联方不得与公司现有设备/药剂供应商存在可能影响中立判断的利益关系，须签署独立性承诺函。</w:t>
      </w:r>
    </w:p>
    <w:p w14:paraId="723ABE91">
      <w:pPr>
        <w:rPr>
          <w:rFonts w:hint="eastAsia" w:ascii="宋体" w:hAnsi="宋体" w:eastAsia="宋体" w:cs="宋体"/>
          <w:color w:val="auto"/>
          <w:highlight w:val="none"/>
        </w:rPr>
      </w:pPr>
    </w:p>
    <w:p w14:paraId="453D906B">
      <w:pPr>
        <w:rPr>
          <w:rFonts w:hint="eastAsia" w:ascii="宋体" w:hAnsi="宋体" w:eastAsia="宋体" w:cs="宋体"/>
          <w:color w:val="auto"/>
          <w:highlight w:val="none"/>
        </w:rPr>
      </w:pPr>
      <w:r>
        <w:rPr>
          <w:rFonts w:hint="eastAsia" w:ascii="宋体" w:hAnsi="宋体" w:eastAsia="宋体" w:cs="宋体"/>
          <w:color w:val="auto"/>
          <w:highlight w:val="none"/>
        </w:rPr>
        <w:t>5.服务响应：能够在合同签订后10个工作日内组建项目组并进场开展工作。</w:t>
      </w:r>
    </w:p>
    <w:p w14:paraId="1FAF23A0">
      <w:pPr>
        <w:rPr>
          <w:rFonts w:hint="eastAsia" w:ascii="宋体" w:hAnsi="宋体" w:eastAsia="宋体" w:cs="宋体"/>
          <w:color w:val="auto"/>
          <w:highlight w:val="none"/>
        </w:rPr>
      </w:pPr>
    </w:p>
    <w:p w14:paraId="06DD9004">
      <w:pPr>
        <w:rPr>
          <w:rFonts w:hint="eastAsia" w:ascii="宋体" w:hAnsi="宋体" w:eastAsia="宋体" w:cs="宋体"/>
          <w:color w:val="auto"/>
          <w:highlight w:val="none"/>
        </w:rPr>
      </w:pPr>
      <w:r>
        <w:rPr>
          <w:rFonts w:hint="eastAsia" w:ascii="宋体" w:hAnsi="宋体" w:eastAsia="宋体" w:cs="宋体"/>
          <w:color w:val="auto"/>
          <w:highlight w:val="none"/>
        </w:rPr>
        <w:t>六、服务周期及时间要求</w:t>
      </w:r>
    </w:p>
    <w:p w14:paraId="33FF57AC">
      <w:pPr>
        <w:rPr>
          <w:rFonts w:hint="eastAsia" w:ascii="宋体" w:hAnsi="宋体" w:eastAsia="宋体" w:cs="宋体"/>
          <w:color w:val="auto"/>
          <w:highlight w:val="none"/>
        </w:rPr>
      </w:pPr>
    </w:p>
    <w:p w14:paraId="6FC16BA5">
      <w:pPr>
        <w:rPr>
          <w:rFonts w:hint="eastAsia" w:ascii="宋体" w:hAnsi="宋体" w:eastAsia="宋体" w:cs="宋体"/>
          <w:color w:val="auto"/>
          <w:highlight w:val="none"/>
        </w:rPr>
      </w:pPr>
      <w:r>
        <w:rPr>
          <w:rFonts w:hint="eastAsia" w:ascii="宋体" w:hAnsi="宋体" w:eastAsia="宋体" w:cs="宋体"/>
          <w:color w:val="auto"/>
          <w:highlight w:val="none"/>
        </w:rPr>
        <w:t>- 诊断阶段：合同签订后45个自然日内完成现场调研及《运营全流程诊断报告》。</w:t>
      </w:r>
    </w:p>
    <w:p w14:paraId="1D2364F4">
      <w:pPr>
        <w:rPr>
          <w:rFonts w:hint="eastAsia" w:ascii="宋体" w:hAnsi="宋体" w:eastAsia="宋体" w:cs="宋体"/>
          <w:color w:val="auto"/>
          <w:highlight w:val="none"/>
        </w:rPr>
      </w:pPr>
      <w:r>
        <w:rPr>
          <w:rFonts w:hint="eastAsia" w:ascii="宋体" w:hAnsi="宋体" w:eastAsia="宋体" w:cs="宋体"/>
          <w:color w:val="auto"/>
          <w:highlight w:val="none"/>
        </w:rPr>
        <w:t>- 方案阶段：诊断报告通过审核后60个自然日内提交全部优化方案及专项报告。</w:t>
      </w:r>
    </w:p>
    <w:p w14:paraId="7796D1BE">
      <w:pPr>
        <w:rPr>
          <w:rFonts w:hint="eastAsia" w:ascii="宋体" w:hAnsi="宋体" w:eastAsia="宋体" w:cs="宋体"/>
          <w:color w:val="auto"/>
          <w:highlight w:val="none"/>
        </w:rPr>
      </w:pPr>
      <w:r>
        <w:rPr>
          <w:rFonts w:hint="eastAsia" w:ascii="宋体" w:hAnsi="宋体" w:eastAsia="宋体" w:cs="宋体"/>
          <w:color w:val="auto"/>
          <w:highlight w:val="none"/>
        </w:rPr>
        <w:t>- （可选）实施辅导阶段：方案交付后，根据公司需要另行约定辅导周期（建议6个月）及费用。</w:t>
      </w:r>
    </w:p>
    <w:p w14:paraId="53C7527B">
      <w:pPr>
        <w:rPr>
          <w:rFonts w:hint="eastAsia" w:ascii="宋体" w:hAnsi="宋体" w:eastAsia="宋体" w:cs="宋体"/>
          <w:color w:val="auto"/>
          <w:highlight w:val="none"/>
        </w:rPr>
      </w:pPr>
    </w:p>
    <w:p w14:paraId="2C6F6BA2">
      <w:pPr>
        <w:rPr>
          <w:rFonts w:hint="eastAsia" w:ascii="宋体" w:hAnsi="宋体" w:eastAsia="宋体" w:cs="宋体"/>
          <w:color w:val="auto"/>
          <w:highlight w:val="none"/>
        </w:rPr>
      </w:pPr>
      <w:r>
        <w:rPr>
          <w:rFonts w:hint="eastAsia" w:ascii="宋体" w:hAnsi="宋体" w:eastAsia="宋体" w:cs="宋体"/>
          <w:color w:val="auto"/>
          <w:highlight w:val="none"/>
        </w:rPr>
        <w:t>七、投标文件要求</w:t>
      </w:r>
    </w:p>
    <w:p w14:paraId="4D74E50C">
      <w:pPr>
        <w:rPr>
          <w:rFonts w:hint="eastAsia" w:ascii="宋体" w:hAnsi="宋体" w:eastAsia="宋体" w:cs="宋体"/>
          <w:color w:val="auto"/>
          <w:highlight w:val="none"/>
        </w:rPr>
      </w:pPr>
    </w:p>
    <w:p w14:paraId="08431198">
      <w:pPr>
        <w:rPr>
          <w:rFonts w:hint="eastAsia" w:ascii="宋体" w:hAnsi="宋体" w:eastAsia="宋体" w:cs="宋体"/>
          <w:color w:val="auto"/>
          <w:highlight w:val="none"/>
        </w:rPr>
      </w:pPr>
      <w:r>
        <w:rPr>
          <w:rFonts w:hint="eastAsia" w:ascii="宋体" w:hAnsi="宋体" w:eastAsia="宋体" w:cs="宋体"/>
          <w:color w:val="auto"/>
          <w:highlight w:val="none"/>
        </w:rPr>
        <w:t>潜在供应商应提交以下材料（密封）：</w:t>
      </w:r>
    </w:p>
    <w:p w14:paraId="4D261B0F">
      <w:pPr>
        <w:rPr>
          <w:rFonts w:hint="eastAsia" w:ascii="宋体" w:hAnsi="宋体" w:eastAsia="宋体" w:cs="宋体"/>
          <w:color w:val="auto"/>
          <w:highlight w:val="none"/>
        </w:rPr>
      </w:pPr>
    </w:p>
    <w:p w14:paraId="77F83538">
      <w:pPr>
        <w:rPr>
          <w:rFonts w:hint="eastAsia" w:ascii="宋体" w:hAnsi="宋体" w:eastAsia="宋体" w:cs="宋体"/>
          <w:color w:val="auto"/>
          <w:highlight w:val="none"/>
        </w:rPr>
      </w:pPr>
      <w:r>
        <w:rPr>
          <w:rFonts w:hint="eastAsia" w:ascii="宋体" w:hAnsi="宋体" w:eastAsia="宋体" w:cs="宋体"/>
          <w:color w:val="auto"/>
          <w:highlight w:val="none"/>
        </w:rPr>
        <w:t>1.公司简介及相关资质证明（营业执照、行业认证、荣誉等）</w:t>
      </w:r>
    </w:p>
    <w:p w14:paraId="694DDB48">
      <w:pPr>
        <w:rPr>
          <w:rFonts w:hint="eastAsia" w:ascii="宋体" w:hAnsi="宋体" w:eastAsia="宋体" w:cs="宋体"/>
          <w:color w:val="auto"/>
          <w:highlight w:val="none"/>
        </w:rPr>
      </w:pPr>
      <w:r>
        <w:rPr>
          <w:rFonts w:hint="eastAsia" w:ascii="宋体" w:hAnsi="宋体" w:eastAsia="宋体" w:cs="宋体"/>
          <w:color w:val="auto"/>
          <w:highlight w:val="none"/>
        </w:rPr>
        <w:t>2.类似项目业绩清单及证明材料（合同扫描件、验收报告或用户评价）</w:t>
      </w:r>
    </w:p>
    <w:p w14:paraId="6E1F3F46">
      <w:pPr>
        <w:rPr>
          <w:rFonts w:hint="eastAsia" w:ascii="宋体" w:hAnsi="宋体" w:eastAsia="宋体" w:cs="宋体"/>
          <w:color w:val="auto"/>
          <w:highlight w:val="none"/>
        </w:rPr>
      </w:pPr>
      <w:r>
        <w:rPr>
          <w:rFonts w:hint="eastAsia" w:ascii="宋体" w:hAnsi="宋体" w:eastAsia="宋体" w:cs="宋体"/>
          <w:color w:val="auto"/>
          <w:highlight w:val="none"/>
        </w:rPr>
        <w:t>3.拟派项目团队人员简历及分工</w:t>
      </w:r>
    </w:p>
    <w:p w14:paraId="1D134C5D">
      <w:pPr>
        <w:rPr>
          <w:rFonts w:hint="eastAsia" w:ascii="宋体" w:hAnsi="宋体" w:eastAsia="宋体" w:cs="宋体"/>
          <w:color w:val="auto"/>
          <w:highlight w:val="none"/>
        </w:rPr>
      </w:pPr>
      <w:r>
        <w:rPr>
          <w:rFonts w:hint="eastAsia" w:ascii="宋体" w:hAnsi="宋体" w:eastAsia="宋体" w:cs="宋体"/>
          <w:color w:val="auto"/>
          <w:highlight w:val="none"/>
        </w:rPr>
        <w:t>4.对本需求说明的技术响应方案（初步工作思路、方法工具、预期成果样例）</w:t>
      </w:r>
    </w:p>
    <w:p w14:paraId="4A336DAA">
      <w:pPr>
        <w:rPr>
          <w:rFonts w:hint="eastAsia" w:ascii="宋体" w:hAnsi="宋体" w:eastAsia="宋体" w:cs="宋体"/>
          <w:color w:val="auto"/>
          <w:highlight w:val="none"/>
        </w:rPr>
      </w:pPr>
      <w:r>
        <w:rPr>
          <w:rFonts w:hint="eastAsia" w:ascii="宋体" w:hAnsi="宋体" w:eastAsia="宋体" w:cs="宋体"/>
          <w:color w:val="auto"/>
          <w:highlight w:val="none"/>
        </w:rPr>
        <w:t>5.详细报价单（可按诊断、方案、辅导分阶段报价，也可总价包干）</w:t>
      </w:r>
    </w:p>
    <w:p w14:paraId="46CA84BA">
      <w:pPr>
        <w:rPr>
          <w:rFonts w:hint="eastAsia" w:ascii="宋体" w:hAnsi="宋体" w:eastAsia="宋体" w:cs="宋体"/>
          <w:color w:val="auto"/>
          <w:highlight w:val="none"/>
        </w:rPr>
      </w:pPr>
      <w:r>
        <w:rPr>
          <w:rFonts w:hint="eastAsia" w:ascii="宋体" w:hAnsi="宋体" w:eastAsia="宋体" w:cs="宋体"/>
          <w:color w:val="auto"/>
          <w:highlight w:val="none"/>
        </w:rPr>
        <w:t>6.服务承诺书（含独立性承诺、保密承诺）</w:t>
      </w:r>
    </w:p>
    <w:p w14:paraId="181BB40C">
      <w:pPr>
        <w:rPr>
          <w:rFonts w:hint="eastAsia" w:ascii="宋体" w:hAnsi="宋体" w:eastAsia="宋体" w:cs="宋体"/>
          <w:color w:val="auto"/>
          <w:highlight w:val="none"/>
        </w:rPr>
      </w:pPr>
      <w:r>
        <w:rPr>
          <w:rFonts w:hint="eastAsia" w:ascii="宋体" w:hAnsi="宋体" w:eastAsia="宋体" w:cs="宋体"/>
          <w:color w:val="auto"/>
          <w:highlight w:val="none"/>
        </w:rPr>
        <w:t>7.建议的合作协议草案（可选）</w:t>
      </w:r>
    </w:p>
    <w:p w14:paraId="723C06F2">
      <w:pPr>
        <w:rPr>
          <w:rFonts w:hint="eastAsia" w:ascii="宋体" w:hAnsi="宋体" w:eastAsia="宋体" w:cs="宋体"/>
          <w:color w:val="auto"/>
          <w:highlight w:val="none"/>
        </w:rPr>
      </w:pPr>
    </w:p>
    <w:p w14:paraId="5F31B031">
      <w:pPr>
        <w:rPr>
          <w:rFonts w:hint="eastAsia" w:ascii="宋体" w:hAnsi="宋体" w:eastAsia="宋体" w:cs="宋体"/>
          <w:color w:val="auto"/>
          <w:highlight w:val="none"/>
        </w:rPr>
      </w:pPr>
      <w:r>
        <w:rPr>
          <w:rFonts w:hint="eastAsia" w:ascii="宋体" w:hAnsi="宋体" w:eastAsia="宋体" w:cs="宋体"/>
          <w:color w:val="auto"/>
          <w:highlight w:val="none"/>
        </w:rPr>
        <w:t>八、评标标准（权重示例）</w:t>
      </w:r>
    </w:p>
    <w:p w14:paraId="4A2AED73">
      <w:pPr>
        <w:rPr>
          <w:rFonts w:hint="eastAsia" w:ascii="宋体" w:hAnsi="宋体" w:eastAsia="宋体" w:cs="宋体"/>
          <w:color w:val="auto"/>
          <w:highlight w:val="none"/>
        </w:rPr>
      </w:pPr>
    </w:p>
    <w:p w14:paraId="57E5694E">
      <w:pPr>
        <w:rPr>
          <w:rFonts w:hint="eastAsia" w:ascii="宋体" w:hAnsi="宋体" w:eastAsia="宋体" w:cs="宋体"/>
          <w:color w:val="auto"/>
          <w:highlight w:val="none"/>
        </w:rPr>
      </w:pPr>
      <w:r>
        <w:rPr>
          <w:rFonts w:hint="eastAsia" w:ascii="宋体" w:hAnsi="宋体" w:eastAsia="宋体" w:cs="宋体"/>
          <w:color w:val="auto"/>
          <w:highlight w:val="none"/>
        </w:rPr>
        <w:t>| 评分项                         | 权重 |</w:t>
      </w:r>
    </w:p>
    <w:p w14:paraId="29A3DB94">
      <w:pPr>
        <w:rPr>
          <w:rFonts w:hint="eastAsia" w:ascii="宋体" w:hAnsi="宋体" w:eastAsia="宋体" w:cs="宋体"/>
          <w:color w:val="auto"/>
          <w:highlight w:val="none"/>
        </w:rPr>
      </w:pPr>
      <w:r>
        <w:rPr>
          <w:rFonts w:hint="eastAsia" w:ascii="宋体" w:hAnsi="宋体" w:eastAsia="宋体" w:cs="宋体"/>
          <w:color w:val="auto"/>
          <w:highlight w:val="none"/>
        </w:rPr>
        <w:t>|-------------------------------|------|</w:t>
      </w:r>
    </w:p>
    <w:p w14:paraId="1FAB5B77">
      <w:pPr>
        <w:rPr>
          <w:rFonts w:hint="eastAsia" w:ascii="宋体" w:hAnsi="宋体" w:eastAsia="宋体" w:cs="宋体"/>
          <w:color w:val="auto"/>
          <w:highlight w:val="none"/>
        </w:rPr>
      </w:pPr>
      <w:r>
        <w:rPr>
          <w:rFonts w:hint="eastAsia" w:ascii="宋体" w:hAnsi="宋体" w:eastAsia="宋体" w:cs="宋体"/>
          <w:color w:val="auto"/>
          <w:highlight w:val="none"/>
        </w:rPr>
        <w:t>| 供应商行业业绩及信誉           | 25%  |</w:t>
      </w:r>
    </w:p>
    <w:p w14:paraId="10651A41">
      <w:pPr>
        <w:rPr>
          <w:rFonts w:hint="eastAsia" w:ascii="宋体" w:hAnsi="宋体" w:eastAsia="宋体" w:cs="宋体"/>
          <w:color w:val="auto"/>
          <w:highlight w:val="none"/>
        </w:rPr>
      </w:pPr>
      <w:r>
        <w:rPr>
          <w:rFonts w:hint="eastAsia" w:ascii="宋体" w:hAnsi="宋体" w:eastAsia="宋体" w:cs="宋体"/>
          <w:color w:val="auto"/>
          <w:highlight w:val="none"/>
        </w:rPr>
        <w:t>| 项目团队专业能力               | 25%  |</w:t>
      </w:r>
    </w:p>
    <w:p w14:paraId="2DEBF098">
      <w:pPr>
        <w:rPr>
          <w:rFonts w:hint="eastAsia" w:ascii="宋体" w:hAnsi="宋体" w:eastAsia="宋体" w:cs="宋体"/>
          <w:color w:val="auto"/>
          <w:highlight w:val="none"/>
        </w:rPr>
      </w:pPr>
      <w:r>
        <w:rPr>
          <w:rFonts w:hint="eastAsia" w:ascii="宋体" w:hAnsi="宋体" w:eastAsia="宋体" w:cs="宋体"/>
          <w:color w:val="auto"/>
          <w:highlight w:val="none"/>
        </w:rPr>
        <w:t>| 技术方案的针对性及可行性       | 30%  |</w:t>
      </w:r>
    </w:p>
    <w:p w14:paraId="7CB600C4">
      <w:pPr>
        <w:rPr>
          <w:rFonts w:hint="eastAsia" w:ascii="宋体" w:hAnsi="宋体" w:eastAsia="宋体" w:cs="宋体"/>
          <w:color w:val="auto"/>
          <w:highlight w:val="none"/>
        </w:rPr>
      </w:pPr>
      <w:r>
        <w:rPr>
          <w:rFonts w:hint="eastAsia" w:ascii="宋体" w:hAnsi="宋体" w:eastAsia="宋体" w:cs="宋体"/>
          <w:color w:val="auto"/>
          <w:highlight w:val="none"/>
        </w:rPr>
        <w:t>| 报价合理性                     | 15%  |</w:t>
      </w:r>
    </w:p>
    <w:p w14:paraId="25560780">
      <w:pPr>
        <w:rPr>
          <w:rFonts w:hint="eastAsia" w:ascii="宋体" w:hAnsi="宋体" w:eastAsia="宋体" w:cs="宋体"/>
          <w:color w:val="auto"/>
          <w:highlight w:val="none"/>
        </w:rPr>
      </w:pPr>
      <w:r>
        <w:rPr>
          <w:rFonts w:hint="eastAsia" w:ascii="宋体" w:hAnsi="宋体" w:eastAsia="宋体" w:cs="宋体"/>
          <w:color w:val="auto"/>
          <w:highlight w:val="none"/>
        </w:rPr>
        <w:t>| 附加服务（如实施辅导、培训等） | 5%   |</w:t>
      </w:r>
    </w:p>
    <w:p w14:paraId="11FF95F6">
      <w:pPr>
        <w:rPr>
          <w:rFonts w:hint="eastAsia" w:ascii="宋体" w:hAnsi="宋体" w:eastAsia="宋体" w:cs="宋体"/>
          <w:color w:val="auto"/>
          <w:highlight w:val="none"/>
        </w:rPr>
      </w:pPr>
    </w:p>
    <w:p w14:paraId="490D17FC">
      <w:pPr>
        <w:rPr>
          <w:rFonts w:hint="eastAsia" w:ascii="宋体" w:hAnsi="宋体" w:eastAsia="宋体" w:cs="宋体"/>
          <w:color w:val="auto"/>
          <w:highlight w:val="none"/>
        </w:rPr>
      </w:pPr>
      <w:r>
        <w:rPr>
          <w:rFonts w:hint="eastAsia" w:ascii="宋体" w:hAnsi="宋体" w:eastAsia="宋体" w:cs="宋体"/>
          <w:color w:val="auto"/>
          <w:highlight w:val="none"/>
        </w:rPr>
        <w:t>我司有权根据实际投标情况调整评标权重，但会提前书面告知。</w:t>
      </w:r>
    </w:p>
    <w:p w14:paraId="4FF8910B">
      <w:pPr>
        <w:rPr>
          <w:rFonts w:hint="eastAsia" w:ascii="宋体" w:hAnsi="宋体" w:eastAsia="宋体" w:cs="宋体"/>
          <w:color w:val="auto"/>
          <w:highlight w:val="none"/>
        </w:rPr>
      </w:pPr>
    </w:p>
    <w:p w14:paraId="5A291520">
      <w:pPr>
        <w:rPr>
          <w:rFonts w:hint="eastAsia" w:ascii="宋体" w:hAnsi="宋体" w:eastAsia="宋体" w:cs="宋体"/>
          <w:color w:val="auto"/>
          <w:highlight w:val="none"/>
        </w:rPr>
      </w:pPr>
      <w:r>
        <w:rPr>
          <w:rFonts w:hint="eastAsia" w:ascii="宋体" w:hAnsi="宋体" w:eastAsia="宋体" w:cs="宋体"/>
          <w:color w:val="auto"/>
          <w:highlight w:val="none"/>
        </w:rPr>
        <w:t>九、保密要求</w:t>
      </w:r>
    </w:p>
    <w:p w14:paraId="4E1038D5">
      <w:pPr>
        <w:rPr>
          <w:rFonts w:hint="eastAsia" w:ascii="宋体" w:hAnsi="宋体" w:eastAsia="宋体" w:cs="宋体"/>
          <w:color w:val="auto"/>
          <w:highlight w:val="none"/>
        </w:rPr>
      </w:pPr>
    </w:p>
    <w:p w14:paraId="09720A11">
      <w:pPr>
        <w:rPr>
          <w:rFonts w:hint="eastAsia" w:ascii="宋体" w:hAnsi="宋体" w:eastAsia="宋体" w:cs="宋体"/>
          <w:color w:val="auto"/>
          <w:highlight w:val="none"/>
        </w:rPr>
      </w:pPr>
      <w:r>
        <w:rPr>
          <w:rFonts w:hint="eastAsia" w:ascii="宋体" w:hAnsi="宋体" w:eastAsia="宋体" w:cs="宋体"/>
          <w:color w:val="auto"/>
          <w:highlight w:val="none"/>
        </w:rPr>
        <w:t>所有参与投标的供应商须签署保密协议，不得将本需求说明及后续接触到的公司运营数据、技术信息泄露给第三方或用于本项目以外的任何目的。</w:t>
      </w:r>
    </w:p>
    <w:p w14:paraId="578F8721">
      <w:pPr>
        <w:rPr>
          <w:rFonts w:hint="eastAsia" w:ascii="宋体" w:hAnsi="宋体" w:eastAsia="宋体" w:cs="宋体"/>
          <w:color w:val="auto"/>
          <w:highlight w:val="none"/>
        </w:rPr>
      </w:pPr>
    </w:p>
    <w:p w14:paraId="7C66211D">
      <w:pPr>
        <w:rPr>
          <w:rFonts w:hint="eastAsia" w:ascii="宋体" w:hAnsi="宋体" w:eastAsia="宋体" w:cs="宋体"/>
          <w:color w:val="auto"/>
          <w:highlight w:val="none"/>
        </w:rPr>
      </w:pPr>
      <w:r>
        <w:rPr>
          <w:rFonts w:hint="eastAsia" w:ascii="宋体" w:hAnsi="宋体" w:eastAsia="宋体" w:cs="宋体"/>
          <w:color w:val="auto"/>
          <w:highlight w:val="none"/>
        </w:rPr>
        <w:t>本需求说明为内部决策及采购用途，最终解释权归</w:t>
      </w:r>
      <w:r>
        <w:rPr>
          <w:rFonts w:hint="eastAsia" w:ascii="宋体" w:hAnsi="宋体" w:eastAsia="宋体" w:cs="宋体"/>
          <w:color w:val="auto"/>
          <w:highlight w:val="none"/>
          <w:lang w:val="en-US" w:eastAsia="zh-CN"/>
        </w:rPr>
        <w:t>采购人</w:t>
      </w:r>
      <w:r>
        <w:rPr>
          <w:rFonts w:hint="eastAsia" w:ascii="宋体" w:hAnsi="宋体" w:eastAsia="宋体" w:cs="宋体"/>
          <w:color w:val="auto"/>
          <w:highlight w:val="none"/>
        </w:rPr>
        <w:t>所有。</w:t>
      </w:r>
    </w:p>
    <w:p w14:paraId="5A344E5F">
      <w:pPr>
        <w:spacing w:line="360" w:lineRule="auto"/>
        <w:rPr>
          <w:rFonts w:hint="eastAsia" w:ascii="宋体" w:hAnsi="宋体" w:eastAsia="宋体" w:cs="宋体"/>
          <w:b/>
          <w:bCs/>
          <w:color w:val="auto"/>
          <w:kern w:val="44"/>
          <w:sz w:val="28"/>
          <w:szCs w:val="28"/>
          <w:highlight w:val="none"/>
        </w:rPr>
      </w:pPr>
    </w:p>
    <w:p w14:paraId="767146CE">
      <w:pPr>
        <w:spacing w:line="360" w:lineRule="auto"/>
        <w:rPr>
          <w:rFonts w:hint="eastAsia" w:ascii="宋体" w:hAnsi="宋体" w:eastAsia="宋体" w:cs="宋体"/>
          <w:b/>
          <w:bCs/>
          <w:color w:val="auto"/>
          <w:kern w:val="44"/>
          <w:sz w:val="28"/>
          <w:szCs w:val="28"/>
          <w:highlight w:val="none"/>
        </w:rPr>
      </w:pPr>
    </w:p>
    <w:p w14:paraId="5D21D0EA">
      <w:pPr>
        <w:spacing w:line="360" w:lineRule="auto"/>
        <w:rPr>
          <w:rFonts w:hint="eastAsia" w:ascii="宋体" w:hAnsi="宋体" w:eastAsia="宋体" w:cs="宋体"/>
          <w:b/>
          <w:bCs/>
          <w:color w:val="auto"/>
          <w:kern w:val="44"/>
          <w:sz w:val="28"/>
          <w:szCs w:val="28"/>
          <w:highlight w:val="none"/>
        </w:rPr>
      </w:pPr>
    </w:p>
    <w:p w14:paraId="254152A9">
      <w:p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附件3</w:t>
      </w:r>
      <w:r>
        <w:rPr>
          <w:rFonts w:hint="eastAsia" w:ascii="宋体" w:hAnsi="宋体" w:eastAsia="宋体" w:cs="宋体"/>
          <w:b/>
          <w:bCs/>
          <w:color w:val="auto"/>
          <w:sz w:val="24"/>
          <w:szCs w:val="24"/>
          <w:highlight w:val="none"/>
          <w:lang w:eastAsia="zh-CN"/>
        </w:rPr>
        <w:t>：</w:t>
      </w:r>
    </w:p>
    <w:p w14:paraId="53BFBF8B">
      <w:pPr>
        <w:widowControl/>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采购需求</w:t>
      </w:r>
      <w:r>
        <w:rPr>
          <w:rFonts w:hint="eastAsia" w:ascii="宋体" w:hAnsi="宋体" w:eastAsia="宋体" w:cs="宋体"/>
          <w:b/>
          <w:color w:val="auto"/>
          <w:sz w:val="28"/>
          <w:szCs w:val="28"/>
          <w:highlight w:val="none"/>
          <w:lang w:val="en-US" w:eastAsia="zh-CN"/>
        </w:rPr>
        <w:t>说明书</w:t>
      </w:r>
      <w:r>
        <w:rPr>
          <w:rFonts w:hint="eastAsia" w:ascii="宋体" w:hAnsi="宋体" w:eastAsia="宋体" w:cs="宋体"/>
          <w:b/>
          <w:color w:val="auto"/>
          <w:sz w:val="28"/>
          <w:szCs w:val="28"/>
          <w:highlight w:val="none"/>
        </w:rPr>
        <w:t>反馈意见或建议</w:t>
      </w:r>
    </w:p>
    <w:tbl>
      <w:tblPr>
        <w:tblStyle w:val="11"/>
        <w:tblW w:w="0" w:type="auto"/>
        <w:tblInd w:w="0" w:type="dxa"/>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3898"/>
        <w:gridCol w:w="3984"/>
      </w:tblGrid>
      <w:tr w14:paraId="646098C7">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0" w:type="auto"/>
            <w:tcBorders>
              <w:tl2br w:val="nil"/>
              <w:tr2bl w:val="nil"/>
            </w:tcBorders>
            <w:vAlign w:val="center"/>
          </w:tcPr>
          <w:p w14:paraId="6942B852">
            <w:pPr>
              <w:pStyle w:val="22"/>
              <w:kinsoku w:val="0"/>
              <w:overflowPunct w:val="0"/>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序号</w:t>
            </w:r>
          </w:p>
        </w:tc>
        <w:tc>
          <w:tcPr>
            <w:tcW w:w="4510" w:type="dxa"/>
            <w:tcBorders>
              <w:tl2br w:val="nil"/>
              <w:tr2bl w:val="nil"/>
            </w:tcBorders>
            <w:vAlign w:val="center"/>
          </w:tcPr>
          <w:p w14:paraId="719DA642">
            <w:pPr>
              <w:pStyle w:val="22"/>
              <w:kinsoku w:val="0"/>
              <w:overflowPunct w:val="0"/>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需求原条文</w:t>
            </w:r>
          </w:p>
        </w:tc>
        <w:tc>
          <w:tcPr>
            <w:tcW w:w="4612" w:type="dxa"/>
            <w:tcBorders>
              <w:tl2br w:val="nil"/>
              <w:tr2bl w:val="nil"/>
            </w:tcBorders>
            <w:vAlign w:val="center"/>
          </w:tcPr>
          <w:p w14:paraId="2AD0C78B">
            <w:pPr>
              <w:pStyle w:val="22"/>
              <w:kinsoku w:val="0"/>
              <w:overflowPunct w:val="0"/>
              <w:ind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意见或建议</w:t>
            </w:r>
          </w:p>
        </w:tc>
      </w:tr>
      <w:tr w14:paraId="01A30E66">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vAlign w:val="center"/>
          </w:tcPr>
          <w:p w14:paraId="1DD2B58B">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1</w:t>
            </w:r>
          </w:p>
        </w:tc>
        <w:tc>
          <w:tcPr>
            <w:tcW w:w="4510" w:type="dxa"/>
            <w:tcBorders>
              <w:tl2br w:val="nil"/>
              <w:tr2bl w:val="nil"/>
            </w:tcBorders>
            <w:vAlign w:val="center"/>
          </w:tcPr>
          <w:p w14:paraId="6C5AAB6A">
            <w:pPr>
              <w:spacing w:line="360" w:lineRule="auto"/>
              <w:ind w:firstLine="560" w:firstLineChars="200"/>
              <w:jc w:val="left"/>
              <w:rPr>
                <w:rFonts w:hint="eastAsia" w:ascii="宋体" w:hAnsi="宋体" w:eastAsia="宋体" w:cs="宋体"/>
                <w:color w:val="auto"/>
                <w:sz w:val="28"/>
                <w:szCs w:val="28"/>
                <w:highlight w:val="none"/>
              </w:rPr>
            </w:pPr>
          </w:p>
        </w:tc>
        <w:tc>
          <w:tcPr>
            <w:tcW w:w="4612" w:type="dxa"/>
            <w:tcBorders>
              <w:tl2br w:val="nil"/>
              <w:tr2bl w:val="nil"/>
            </w:tcBorders>
            <w:vAlign w:val="center"/>
          </w:tcPr>
          <w:p w14:paraId="4324AA50">
            <w:pPr>
              <w:spacing w:line="360" w:lineRule="auto"/>
              <w:ind w:firstLine="560" w:firstLineChars="200"/>
              <w:jc w:val="left"/>
              <w:rPr>
                <w:rFonts w:hint="eastAsia" w:ascii="宋体" w:hAnsi="宋体" w:eastAsia="宋体" w:cs="宋体"/>
                <w:color w:val="auto"/>
                <w:sz w:val="28"/>
                <w:szCs w:val="28"/>
                <w:highlight w:val="none"/>
              </w:rPr>
            </w:pPr>
          </w:p>
        </w:tc>
      </w:tr>
      <w:tr w14:paraId="6C419EF1">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vAlign w:val="center"/>
          </w:tcPr>
          <w:p w14:paraId="08B68343">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2</w:t>
            </w:r>
          </w:p>
        </w:tc>
        <w:tc>
          <w:tcPr>
            <w:tcW w:w="4510" w:type="dxa"/>
            <w:tcBorders>
              <w:tl2br w:val="nil"/>
              <w:tr2bl w:val="nil"/>
            </w:tcBorders>
            <w:vAlign w:val="center"/>
          </w:tcPr>
          <w:p w14:paraId="5B1B4538">
            <w:pPr>
              <w:spacing w:line="360" w:lineRule="auto"/>
              <w:ind w:firstLine="560" w:firstLineChars="200"/>
              <w:jc w:val="left"/>
              <w:rPr>
                <w:rFonts w:hint="eastAsia" w:ascii="宋体" w:hAnsi="宋体" w:eastAsia="宋体" w:cs="宋体"/>
                <w:color w:val="auto"/>
                <w:sz w:val="28"/>
                <w:szCs w:val="28"/>
                <w:highlight w:val="none"/>
              </w:rPr>
            </w:pPr>
          </w:p>
        </w:tc>
        <w:tc>
          <w:tcPr>
            <w:tcW w:w="4612" w:type="dxa"/>
            <w:tcBorders>
              <w:tl2br w:val="nil"/>
              <w:tr2bl w:val="nil"/>
            </w:tcBorders>
            <w:vAlign w:val="center"/>
          </w:tcPr>
          <w:p w14:paraId="76EA7AD1">
            <w:pPr>
              <w:spacing w:line="360" w:lineRule="auto"/>
              <w:ind w:firstLine="560" w:firstLineChars="200"/>
              <w:jc w:val="left"/>
              <w:rPr>
                <w:rFonts w:hint="eastAsia" w:ascii="宋体" w:hAnsi="宋体" w:eastAsia="宋体" w:cs="宋体"/>
                <w:color w:val="auto"/>
                <w:sz w:val="28"/>
                <w:szCs w:val="28"/>
                <w:highlight w:val="none"/>
              </w:rPr>
            </w:pPr>
          </w:p>
        </w:tc>
      </w:tr>
      <w:tr w14:paraId="3B0599FD">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vAlign w:val="center"/>
          </w:tcPr>
          <w:p w14:paraId="7E5316E2">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3</w:t>
            </w:r>
          </w:p>
        </w:tc>
        <w:tc>
          <w:tcPr>
            <w:tcW w:w="4510" w:type="dxa"/>
            <w:tcBorders>
              <w:tl2br w:val="nil"/>
              <w:tr2bl w:val="nil"/>
            </w:tcBorders>
            <w:vAlign w:val="center"/>
          </w:tcPr>
          <w:p w14:paraId="36FEBCDF">
            <w:pPr>
              <w:spacing w:line="360" w:lineRule="auto"/>
              <w:ind w:firstLine="560" w:firstLineChars="200"/>
              <w:jc w:val="left"/>
              <w:rPr>
                <w:rFonts w:hint="eastAsia" w:ascii="宋体" w:hAnsi="宋体" w:eastAsia="宋体" w:cs="宋体"/>
                <w:color w:val="auto"/>
                <w:sz w:val="28"/>
                <w:szCs w:val="28"/>
                <w:highlight w:val="none"/>
              </w:rPr>
            </w:pPr>
          </w:p>
        </w:tc>
        <w:tc>
          <w:tcPr>
            <w:tcW w:w="4612" w:type="dxa"/>
            <w:tcBorders>
              <w:tl2br w:val="nil"/>
              <w:tr2bl w:val="nil"/>
            </w:tcBorders>
            <w:vAlign w:val="center"/>
          </w:tcPr>
          <w:p w14:paraId="591143E5">
            <w:pPr>
              <w:spacing w:line="360" w:lineRule="auto"/>
              <w:ind w:firstLine="560" w:firstLineChars="200"/>
              <w:jc w:val="left"/>
              <w:rPr>
                <w:rFonts w:hint="eastAsia" w:ascii="宋体" w:hAnsi="宋体" w:eastAsia="宋体" w:cs="宋体"/>
                <w:color w:val="auto"/>
                <w:sz w:val="28"/>
                <w:szCs w:val="28"/>
                <w:highlight w:val="none"/>
              </w:rPr>
            </w:pPr>
          </w:p>
        </w:tc>
      </w:tr>
      <w:tr w14:paraId="402014A5">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vAlign w:val="center"/>
          </w:tcPr>
          <w:p w14:paraId="6AF12C7E">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4</w:t>
            </w:r>
          </w:p>
        </w:tc>
        <w:tc>
          <w:tcPr>
            <w:tcW w:w="4510" w:type="dxa"/>
            <w:tcBorders>
              <w:tl2br w:val="nil"/>
              <w:tr2bl w:val="nil"/>
            </w:tcBorders>
            <w:vAlign w:val="center"/>
          </w:tcPr>
          <w:p w14:paraId="5485E16B">
            <w:pPr>
              <w:spacing w:line="360" w:lineRule="auto"/>
              <w:ind w:firstLine="560" w:firstLineChars="200"/>
              <w:jc w:val="left"/>
              <w:rPr>
                <w:rFonts w:hint="eastAsia" w:ascii="宋体" w:hAnsi="宋体" w:eastAsia="宋体" w:cs="宋体"/>
                <w:color w:val="auto"/>
                <w:sz w:val="28"/>
                <w:szCs w:val="28"/>
                <w:highlight w:val="none"/>
              </w:rPr>
            </w:pPr>
          </w:p>
        </w:tc>
        <w:tc>
          <w:tcPr>
            <w:tcW w:w="4612" w:type="dxa"/>
            <w:tcBorders>
              <w:tl2br w:val="nil"/>
              <w:tr2bl w:val="nil"/>
            </w:tcBorders>
            <w:vAlign w:val="center"/>
          </w:tcPr>
          <w:p w14:paraId="154379CB">
            <w:pPr>
              <w:spacing w:line="360" w:lineRule="auto"/>
              <w:ind w:firstLine="560" w:firstLineChars="200"/>
              <w:jc w:val="left"/>
              <w:rPr>
                <w:rFonts w:hint="eastAsia" w:ascii="宋体" w:hAnsi="宋体" w:eastAsia="宋体" w:cs="宋体"/>
                <w:color w:val="auto"/>
                <w:sz w:val="28"/>
                <w:szCs w:val="28"/>
                <w:highlight w:val="none"/>
              </w:rPr>
            </w:pPr>
          </w:p>
        </w:tc>
      </w:tr>
      <w:tr w14:paraId="535F089F">
        <w:tblPrEx>
          <w:tblBorders>
            <w:top w:val="thinThickSmallGap" w:color="auto" w:sz="12" w:space="0"/>
            <w:left w:val="thinThickSmallGap" w:color="auto" w:sz="12" w:space="0"/>
            <w:bottom w:val="thinThickSmallGap" w:color="auto" w:sz="12" w:space="0"/>
            <w:right w:val="thinThickSmallGap" w:color="auto" w:sz="12"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0" w:type="auto"/>
            <w:tcBorders>
              <w:tl2br w:val="nil"/>
              <w:tr2bl w:val="nil"/>
            </w:tcBorders>
            <w:vAlign w:val="center"/>
          </w:tcPr>
          <w:p w14:paraId="0B456A0F">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w:t>
            </w:r>
          </w:p>
        </w:tc>
        <w:tc>
          <w:tcPr>
            <w:tcW w:w="4510" w:type="dxa"/>
            <w:tcBorders>
              <w:tl2br w:val="nil"/>
              <w:tr2bl w:val="nil"/>
            </w:tcBorders>
            <w:vAlign w:val="center"/>
          </w:tcPr>
          <w:p w14:paraId="3F402ADA">
            <w:pPr>
              <w:spacing w:line="360" w:lineRule="auto"/>
              <w:ind w:firstLine="560" w:firstLineChars="200"/>
              <w:jc w:val="left"/>
              <w:rPr>
                <w:rFonts w:hint="eastAsia" w:ascii="宋体" w:hAnsi="宋体" w:eastAsia="宋体" w:cs="宋体"/>
                <w:color w:val="auto"/>
                <w:sz w:val="28"/>
                <w:szCs w:val="28"/>
                <w:highlight w:val="none"/>
              </w:rPr>
            </w:pPr>
          </w:p>
        </w:tc>
        <w:tc>
          <w:tcPr>
            <w:tcW w:w="4612" w:type="dxa"/>
            <w:tcBorders>
              <w:tl2br w:val="nil"/>
              <w:tr2bl w:val="nil"/>
            </w:tcBorders>
            <w:vAlign w:val="center"/>
          </w:tcPr>
          <w:p w14:paraId="69E1E41D">
            <w:pPr>
              <w:spacing w:line="360" w:lineRule="auto"/>
              <w:ind w:firstLine="560" w:firstLineChars="200"/>
              <w:jc w:val="left"/>
              <w:rPr>
                <w:rFonts w:hint="eastAsia" w:ascii="宋体" w:hAnsi="宋体" w:eastAsia="宋体" w:cs="宋体"/>
                <w:color w:val="auto"/>
                <w:sz w:val="28"/>
                <w:szCs w:val="28"/>
                <w:highlight w:val="none"/>
              </w:rPr>
            </w:pPr>
          </w:p>
        </w:tc>
      </w:tr>
    </w:tbl>
    <w:p w14:paraId="64D6674E">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注：衷心感谢贵单位对本项目调查工作的支持，本次调查可能用于采购实施，如涉及贵单位商业机密的，请作出提醒或不填。</w:t>
      </w:r>
    </w:p>
    <w:p w14:paraId="43CE6506">
      <w:pPr>
        <w:spacing w:line="360" w:lineRule="auto"/>
        <w:ind w:firstLine="560" w:firstLineChars="200"/>
        <w:rPr>
          <w:rFonts w:hint="eastAsia" w:ascii="宋体" w:hAnsi="宋体" w:eastAsia="宋体" w:cs="宋体"/>
          <w:color w:val="auto"/>
          <w:sz w:val="28"/>
          <w:szCs w:val="28"/>
          <w:highlight w:val="none"/>
        </w:rPr>
      </w:pPr>
    </w:p>
    <w:p w14:paraId="419050E7">
      <w:pPr>
        <w:wordWrap w:val="0"/>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单位名称（盖章）：  </w:t>
      </w:r>
    </w:p>
    <w:p w14:paraId="2EF4FB41">
      <w:pPr>
        <w:wordWrap w:val="0"/>
        <w:spacing w:line="360" w:lineRule="auto"/>
        <w:jc w:val="righ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14:paraId="331C4DD8">
      <w:pPr>
        <w:kinsoku w:val="0"/>
        <w:autoSpaceDE w:val="0"/>
        <w:autoSpaceDN w:val="0"/>
        <w:adjustRightInd w:val="0"/>
        <w:snapToGrid w:val="0"/>
        <w:spacing w:line="360" w:lineRule="exact"/>
        <w:ind w:firstLine="5040" w:firstLineChars="1800"/>
        <w:textAlignment w:val="baseline"/>
        <w:rPr>
          <w:rFonts w:hint="eastAsia" w:ascii="宋体" w:hAnsi="宋体" w:eastAsia="宋体" w:cs="宋体"/>
          <w:color w:val="auto"/>
          <w:highlight w:val="none"/>
        </w:rPr>
      </w:pPr>
      <w:r>
        <w:rPr>
          <w:rFonts w:hint="eastAsia" w:ascii="宋体" w:hAnsi="宋体" w:eastAsia="宋体" w:cs="宋体"/>
          <w:color w:val="auto"/>
          <w:sz w:val="28"/>
          <w:szCs w:val="28"/>
          <w:highlight w:val="none"/>
        </w:rPr>
        <w:t xml:space="preserve">日       期：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A892">
    <w:pPr>
      <w:pStyle w:val="7"/>
      <w:ind w:firstLine="3420" w:firstLineChars="1900"/>
    </w:pPr>
    <w:sdt>
      <w:sdtPr>
        <w:id w:val="677231561"/>
      </w:sdtPr>
      <w:sdtContent>
        <w:sdt>
          <w:sdtPr>
            <w:id w:val="98381352"/>
          </w:sdtPr>
          <w:sdtContent>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20</w:t>
            </w:r>
            <w:r>
              <w:rPr>
                <w:b/>
                <w:bCs/>
                <w:sz w:val="24"/>
                <w:szCs w:val="24"/>
              </w:rPr>
              <w:fldChar w:fldCharType="end"/>
            </w:r>
          </w:sdtContent>
        </w:sdt>
      </w:sdtContent>
    </w:sdt>
  </w:p>
  <w:p w14:paraId="1144B64D">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372B6"/>
    <w:multiLevelType w:val="singleLevel"/>
    <w:tmpl w:val="53C372B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jMWUzN2RlYjhkM2VjNTcwMjYyZmY2MGRhNjQ0ZDEifQ=="/>
  </w:docVars>
  <w:rsids>
    <w:rsidRoot w:val="004F5BB8"/>
    <w:rsid w:val="00080207"/>
    <w:rsid w:val="00132F98"/>
    <w:rsid w:val="00396FE1"/>
    <w:rsid w:val="004F5BB8"/>
    <w:rsid w:val="00661C56"/>
    <w:rsid w:val="006B4E94"/>
    <w:rsid w:val="007759F2"/>
    <w:rsid w:val="007F3A34"/>
    <w:rsid w:val="008F0F80"/>
    <w:rsid w:val="00980746"/>
    <w:rsid w:val="00BB5788"/>
    <w:rsid w:val="00DB0208"/>
    <w:rsid w:val="00E835F2"/>
    <w:rsid w:val="00E852C3"/>
    <w:rsid w:val="00EF3BE0"/>
    <w:rsid w:val="00F43982"/>
    <w:rsid w:val="00FE4ECA"/>
    <w:rsid w:val="04781A0B"/>
    <w:rsid w:val="064E7A4D"/>
    <w:rsid w:val="09204226"/>
    <w:rsid w:val="09352F13"/>
    <w:rsid w:val="0B304AFF"/>
    <w:rsid w:val="0CC634D2"/>
    <w:rsid w:val="10A77E6D"/>
    <w:rsid w:val="132E6EAF"/>
    <w:rsid w:val="14A343EA"/>
    <w:rsid w:val="1575350C"/>
    <w:rsid w:val="1CEA163B"/>
    <w:rsid w:val="1D127D14"/>
    <w:rsid w:val="21781209"/>
    <w:rsid w:val="22014364"/>
    <w:rsid w:val="22183599"/>
    <w:rsid w:val="23C555DF"/>
    <w:rsid w:val="24011FC7"/>
    <w:rsid w:val="2C034720"/>
    <w:rsid w:val="2D133CC8"/>
    <w:rsid w:val="2FED52DD"/>
    <w:rsid w:val="335F2A7C"/>
    <w:rsid w:val="34EE14A2"/>
    <w:rsid w:val="378360C0"/>
    <w:rsid w:val="387F006B"/>
    <w:rsid w:val="38AA3B82"/>
    <w:rsid w:val="392403BC"/>
    <w:rsid w:val="433C57B1"/>
    <w:rsid w:val="46160AA8"/>
    <w:rsid w:val="476C2349"/>
    <w:rsid w:val="48F922D8"/>
    <w:rsid w:val="49457515"/>
    <w:rsid w:val="4E5153DA"/>
    <w:rsid w:val="4EFD2861"/>
    <w:rsid w:val="50A33261"/>
    <w:rsid w:val="54054D71"/>
    <w:rsid w:val="55C54B71"/>
    <w:rsid w:val="575C71B2"/>
    <w:rsid w:val="592C50B8"/>
    <w:rsid w:val="5A612DDC"/>
    <w:rsid w:val="5B716D60"/>
    <w:rsid w:val="5D9F3A2E"/>
    <w:rsid w:val="5EF841A4"/>
    <w:rsid w:val="6425617F"/>
    <w:rsid w:val="65595BD3"/>
    <w:rsid w:val="65F56484"/>
    <w:rsid w:val="670C0271"/>
    <w:rsid w:val="67277FC8"/>
    <w:rsid w:val="685826FD"/>
    <w:rsid w:val="6A6D0E42"/>
    <w:rsid w:val="6B082FC7"/>
    <w:rsid w:val="6B1523C9"/>
    <w:rsid w:val="6B2C198A"/>
    <w:rsid w:val="6CD62D98"/>
    <w:rsid w:val="6D0112BB"/>
    <w:rsid w:val="6D456141"/>
    <w:rsid w:val="72B25B54"/>
    <w:rsid w:val="7D9D1777"/>
    <w:rsid w:val="7E455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8"/>
    <w:qFormat/>
    <w:uiPriority w:val="0"/>
    <w:pPr>
      <w:keepNext/>
      <w:keepLines/>
      <w:spacing w:before="340" w:after="330" w:line="578" w:lineRule="auto"/>
      <w:outlineLvl w:val="0"/>
    </w:pPr>
    <w:rPr>
      <w:b/>
      <w:kern w:val="44"/>
      <w:sz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7"/>
    <w:semiHidden/>
    <w:unhideWhenUsed/>
    <w:qFormat/>
    <w:uiPriority w:val="99"/>
    <w:pPr>
      <w:jc w:val="left"/>
    </w:pPr>
  </w:style>
  <w:style w:type="paragraph" w:styleId="4">
    <w:name w:val="Body Text"/>
    <w:basedOn w:val="1"/>
    <w:next w:val="1"/>
    <w:link w:val="19"/>
    <w:semiHidden/>
    <w:unhideWhenUsed/>
    <w:qFormat/>
    <w:uiPriority w:val="99"/>
    <w:pPr>
      <w:spacing w:after="120"/>
    </w:pPr>
  </w:style>
  <w:style w:type="paragraph" w:styleId="5">
    <w:name w:val="Body Text Indent"/>
    <w:basedOn w:val="1"/>
    <w:qFormat/>
    <w:uiPriority w:val="0"/>
    <w:pPr>
      <w:ind w:firstLine="570"/>
    </w:pPr>
    <w:rPr>
      <w:rFonts w:ascii="宋体" w:hAnsi="宋体"/>
      <w:sz w:val="28"/>
    </w:rPr>
  </w:style>
  <w:style w:type="paragraph" w:styleId="6">
    <w:name w:val="Balloon Text"/>
    <w:basedOn w:val="1"/>
    <w:link w:val="29"/>
    <w:semiHidden/>
    <w:unhideWhenUsed/>
    <w:qFormat/>
    <w:uiPriority w:val="99"/>
    <w:rPr>
      <w:sz w:val="18"/>
      <w:szCs w:val="18"/>
    </w:rPr>
  </w:style>
  <w:style w:type="paragraph" w:styleId="7">
    <w:name w:val="footer"/>
    <w:basedOn w:val="1"/>
    <w:link w:val="21"/>
    <w:unhideWhenUsed/>
    <w:qFormat/>
    <w:uiPriority w:val="99"/>
    <w:pPr>
      <w:tabs>
        <w:tab w:val="center" w:pos="4153"/>
        <w:tab w:val="right" w:pos="8306"/>
      </w:tabs>
      <w:snapToGrid w:val="0"/>
      <w:jc w:val="left"/>
    </w:pPr>
    <w:rPr>
      <w:sz w:val="18"/>
      <w:szCs w:val="18"/>
    </w:rPr>
  </w:style>
  <w:style w:type="paragraph" w:styleId="8">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3"/>
    <w:next w:val="3"/>
    <w:link w:val="28"/>
    <w:semiHidden/>
    <w:unhideWhenUsed/>
    <w:qFormat/>
    <w:uiPriority w:val="99"/>
    <w:rPr>
      <w:b/>
      <w:bCs/>
    </w:rPr>
  </w:style>
  <w:style w:type="paragraph" w:styleId="10">
    <w:name w:val="Body Text First Indent 2"/>
    <w:basedOn w:val="5"/>
    <w:unhideWhenUsed/>
    <w:qFormat/>
    <w:uiPriority w:val="0"/>
    <w:pPr>
      <w:spacing w:after="120"/>
      <w:ind w:left="420" w:leftChars="200" w:firstLine="420" w:firstLineChars="200"/>
    </w:pPr>
    <w:rPr>
      <w:rFonts w:ascii="Calibri" w:hAnsi="Calibri"/>
      <w:sz w:val="21"/>
      <w:szCs w:val="21"/>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semiHidden/>
    <w:unhideWhenUsed/>
    <w:qFormat/>
    <w:uiPriority w:val="99"/>
    <w:rPr>
      <w:color w:val="800080"/>
      <w:u w:val="single"/>
    </w:rPr>
  </w:style>
  <w:style w:type="character" w:styleId="16">
    <w:name w:val="Hyperlink"/>
    <w:basedOn w:val="13"/>
    <w:semiHidden/>
    <w:unhideWhenUsed/>
    <w:qFormat/>
    <w:uiPriority w:val="99"/>
    <w:rPr>
      <w:color w:val="0000FF"/>
      <w:u w:val="single"/>
    </w:rPr>
  </w:style>
  <w:style w:type="character" w:styleId="17">
    <w:name w:val="annotation reference"/>
    <w:basedOn w:val="13"/>
    <w:semiHidden/>
    <w:unhideWhenUsed/>
    <w:qFormat/>
    <w:uiPriority w:val="99"/>
    <w:rPr>
      <w:sz w:val="21"/>
      <w:szCs w:val="21"/>
    </w:rPr>
  </w:style>
  <w:style w:type="character" w:customStyle="1" w:styleId="18">
    <w:name w:val="标题 1 Char"/>
    <w:basedOn w:val="13"/>
    <w:link w:val="2"/>
    <w:qFormat/>
    <w:uiPriority w:val="0"/>
    <w:rPr>
      <w:rFonts w:ascii="Times New Roman" w:hAnsi="Times New Roman" w:eastAsia="宋体" w:cs="Times New Roman"/>
      <w:b/>
      <w:kern w:val="44"/>
      <w:sz w:val="44"/>
      <w:szCs w:val="20"/>
    </w:rPr>
  </w:style>
  <w:style w:type="character" w:customStyle="1" w:styleId="19">
    <w:name w:val="正文文本 Char"/>
    <w:basedOn w:val="13"/>
    <w:link w:val="4"/>
    <w:semiHidden/>
    <w:qFormat/>
    <w:uiPriority w:val="99"/>
    <w:rPr>
      <w:rFonts w:ascii="Times New Roman" w:hAnsi="Times New Roman" w:eastAsia="宋体" w:cs="Times New Roman"/>
      <w:szCs w:val="20"/>
    </w:rPr>
  </w:style>
  <w:style w:type="character" w:customStyle="1" w:styleId="20">
    <w:name w:val="页眉 Char"/>
    <w:basedOn w:val="13"/>
    <w:link w:val="8"/>
    <w:qFormat/>
    <w:uiPriority w:val="99"/>
    <w:rPr>
      <w:rFonts w:ascii="Times New Roman" w:hAnsi="Times New Roman" w:eastAsia="宋体" w:cs="Times New Roman"/>
      <w:sz w:val="18"/>
      <w:szCs w:val="18"/>
    </w:rPr>
  </w:style>
  <w:style w:type="character" w:customStyle="1" w:styleId="21">
    <w:name w:val="页脚 Char"/>
    <w:basedOn w:val="13"/>
    <w:link w:val="7"/>
    <w:qFormat/>
    <w:uiPriority w:val="99"/>
    <w:rPr>
      <w:rFonts w:ascii="Times New Roman" w:hAnsi="Times New Roman" w:eastAsia="宋体" w:cs="Times New Roman"/>
      <w:sz w:val="18"/>
      <w:szCs w:val="18"/>
    </w:rPr>
  </w:style>
  <w:style w:type="paragraph" w:customStyle="1" w:styleId="22">
    <w:name w:val="Table Paragraph"/>
    <w:qFormat/>
    <w:uiPriority w:val="1"/>
    <w:pPr>
      <w:widowControl w:val="0"/>
      <w:autoSpaceDE w:val="0"/>
      <w:autoSpaceDN w:val="0"/>
      <w:adjustRightInd w:val="0"/>
      <w:spacing w:line="360" w:lineRule="auto"/>
      <w:ind w:firstLine="200" w:firstLineChars="200"/>
      <w:jc w:val="both"/>
    </w:pPr>
    <w:rPr>
      <w:rFonts w:ascii="宋体" w:hAnsi="Times New Roman" w:eastAsia="宋体" w:cs="宋体"/>
      <w:sz w:val="24"/>
      <w:szCs w:val="24"/>
      <w:lang w:val="en-US" w:eastAsia="zh-CN" w:bidi="ar-SA"/>
    </w:rPr>
  </w:style>
  <w:style w:type="paragraph" w:customStyle="1" w:styleId="23">
    <w:name w:val="报告正文"/>
    <w:basedOn w:val="1"/>
    <w:qFormat/>
    <w:uiPriority w:val="0"/>
    <w:pPr>
      <w:adjustRightInd w:val="0"/>
      <w:spacing w:line="360" w:lineRule="auto"/>
      <w:ind w:firstLine="482"/>
      <w:textAlignment w:val="baseline"/>
    </w:pPr>
    <w:rPr>
      <w:rFonts w:cs="宋体"/>
      <w:sz w:val="24"/>
    </w:rPr>
  </w:style>
  <w:style w:type="paragraph" w:customStyle="1" w:styleId="24">
    <w:name w:val="Normal_0"/>
    <w:qFormat/>
    <w:uiPriority w:val="0"/>
    <w:rPr>
      <w:rFonts w:ascii="Times New Roman" w:hAnsi="Times New Roman" w:eastAsia="Times New Roman" w:cs="Times New Roman"/>
      <w:sz w:val="24"/>
      <w:szCs w:val="24"/>
      <w:lang w:val="en-US" w:eastAsia="zh-CN" w:bidi="ar-SA"/>
    </w:rPr>
  </w:style>
  <w:style w:type="paragraph" w:customStyle="1" w:styleId="25">
    <w:name w:val="È±Ê¡ÎÄ±¾"/>
    <w:basedOn w:val="1"/>
    <w:qFormat/>
    <w:uiPriority w:val="0"/>
    <w:pPr>
      <w:widowControl/>
      <w:overflowPunct w:val="0"/>
      <w:autoSpaceDE w:val="0"/>
      <w:autoSpaceDN w:val="0"/>
      <w:adjustRightInd w:val="0"/>
      <w:jc w:val="left"/>
      <w:textAlignment w:val="baseline"/>
    </w:pPr>
    <w:rPr>
      <w:kern w:val="0"/>
      <w:sz w:val="24"/>
    </w:rPr>
  </w:style>
  <w:style w:type="table" w:customStyle="1" w:styleId="26">
    <w:name w:val="Table Normal"/>
    <w:unhideWhenUsed/>
    <w:qFormat/>
    <w:uiPriority w:val="0"/>
    <w:tblPr>
      <w:tblCellMar>
        <w:top w:w="0" w:type="dxa"/>
        <w:left w:w="0" w:type="dxa"/>
        <w:bottom w:w="0" w:type="dxa"/>
        <w:right w:w="0" w:type="dxa"/>
      </w:tblCellMar>
    </w:tblPr>
  </w:style>
  <w:style w:type="character" w:customStyle="1" w:styleId="27">
    <w:name w:val="批注文字 Char"/>
    <w:basedOn w:val="13"/>
    <w:link w:val="3"/>
    <w:semiHidden/>
    <w:qFormat/>
    <w:uiPriority w:val="99"/>
    <w:rPr>
      <w:rFonts w:ascii="Times New Roman" w:hAnsi="Times New Roman" w:eastAsia="宋体" w:cs="Times New Roman"/>
      <w:kern w:val="2"/>
      <w:sz w:val="21"/>
    </w:rPr>
  </w:style>
  <w:style w:type="character" w:customStyle="1" w:styleId="28">
    <w:name w:val="批注主题 Char"/>
    <w:basedOn w:val="27"/>
    <w:link w:val="9"/>
    <w:semiHidden/>
    <w:qFormat/>
    <w:uiPriority w:val="99"/>
    <w:rPr>
      <w:rFonts w:ascii="Times New Roman" w:hAnsi="Times New Roman" w:eastAsia="宋体" w:cs="Times New Roman"/>
      <w:b/>
      <w:bCs/>
      <w:kern w:val="2"/>
      <w:sz w:val="21"/>
    </w:rPr>
  </w:style>
  <w:style w:type="character" w:customStyle="1" w:styleId="29">
    <w:name w:val="批注框文本 Char"/>
    <w:basedOn w:val="13"/>
    <w:link w:val="6"/>
    <w:semiHidden/>
    <w:qFormat/>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7e931d36-3d14-4014-9c32-0bc006feed92</errorID>
      <errorWord>是</errorWord>
      <group>L1_Word</group>
      <groupName>字词问题</groupName>
      <ability>L2_Typo</ability>
      <abilityName>字词错误</abilityName>
      <candidateList>
        <item>是对</item>
      </candidateList>
      <explain/>
      <paraID>4FEAD927</paraID>
      <start>4</start>
      <end>6</end>
      <status>modified</status>
      <modifiedWord>是对</modifiedWord>
      <trackRevisions>false</trackRevisions>
    </reviewItem>
    <reviewItem>
      <errorID>32d31205-7cfe-4e5f-a7b1-58055d18fe84</errorID>
      <errorWord>:</errorWord>
      <group>L1_Format</group>
      <groupName>格式问题</groupName>
      <ability>L2_HalfPunc</ability>
      <abilityName>全半角检查</abilityName>
      <candidateList>
        <item>：</item>
      </candidateList>
      <explain>文本全半角错误。</explain>
      <paraID>66051C4E</paraID>
      <start>4</start>
      <end>5</end>
      <status>modified</status>
      <modifiedWord>：</modifiedWord>
      <trackRevisions>false</trackRevisions>
    </reviewItem>
    <reviewItem>
      <errorID>273c9f61-1f27-46e0-b87d-028867b474f7</errorID>
      <errorWord>:</errorWord>
      <group>L1_Format</group>
      <groupName>格式问题</groupName>
      <ability>L2_HalfPunc</ability>
      <abilityName>全半角检查</abilityName>
      <candidateList>
        <item>：</item>
      </candidateList>
      <explain>文本全半角错误。</explain>
      <paraID>7C2F82B6</paraID>
      <start>6</start>
      <end>7</end>
      <status>modified</status>
      <modifiedWord>：</modifiedWord>
      <trackRevisions>false</trackRevisions>
    </reviewItem>
    <reviewItem>
      <errorID>43a22b28-eacb-4519-9121-733d1e2e8777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6D88C024</paraID>
      <start>118</start>
      <end>119</end>
      <status>modified</status>
      <modifiedWord>—</modifiedWord>
      <trackRevisions>false</trackRevisions>
    </reviewItem>
    <reviewItem>
      <errorID>9cc5ed4d-1801-4974-b88f-839a098b6d0c</errorID>
      <errorWord>进入到</errorWord>
      <group>L1_Word</group>
      <groupName>字词问题</groupName>
      <ability>L2_Typo</ability>
      <abilityName>字词错误</abilityName>
      <candidateList>
        <item>进入</item>
      </candidateList>
      <explain>〈动〉支进到某个范围或某个时期里：～学校｜～新阶段◇～角色。</explain>
      <paraID>30420978</paraID>
      <start>212</start>
      <end>214</end>
      <status>modified</status>
      <modifiedWord>进入</modifiedWord>
      <trackRevisions>false</trackRevisions>
    </reviewItem>
    <reviewItem>
      <errorID>ded88ed7-db77-4a99-909d-64aa4fa3db3d</errorID>
      <errorWord>-</errorWord>
      <group>L1_Format</group>
      <groupName>格式问题</groupName>
      <ability>L2_HalfPunc</ability>
      <abilityName>全半角检查</abilityName>
      <candidateList>
        <item>－</item>
      </candidateList>
      <explain>文本全半角错误。</explain>
      <paraID>71E6E52F</paraID>
      <start>31</start>
      <end>32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0dd5ebc8-b593-43e2-9ba2-5d2ac743be0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2926</Words>
  <Characters>3107</Characters>
  <Lines>65</Lines>
  <Paragraphs>18</Paragraphs>
  <TotalTime>34</TotalTime>
  <ScaleCrop>false</ScaleCrop>
  <LinksUpToDate>false</LinksUpToDate>
  <CharactersWithSpaces>3409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2023-04-21T06:04:00Z</dcterms:created>
  <dc:creator>China</dc:creator>
  <cp:lastModifiedBy>招标代理</cp:lastModifiedBy>
  <cp:lastPrinted>2023-04-23T09:32:00Z</cp:lastPrinted>
  <dcterms:modified xsi:type="dcterms:W3CDTF">2026-06-25T07:40:23Z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9D331F09568B4A589D88E0CAD957310F_13</vt:lpwstr>
  </property>
  <property fmtid="{D5CDD505-2E9C-101B-9397-08002B2CF9AE}" pid="4" name="KSOTemplateDocerSaveRecord">
    <vt:lpwstr>eyJoZGlkIjoiNGFjOTMzM2ZjOTFlYTVjOGVmMmU3MjkwZmNlOThjZmEiLCJ1c2VySWQiOiI3NTUwMTAyNTIifQ==</vt:lpwstr>
  </property>
</Properties>
</file>